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BC5C5" w14:textId="77777777" w:rsidR="00B73A42" w:rsidRDefault="00B73A42" w:rsidP="0031313E">
      <w:pPr>
        <w:pStyle w:val="Heading1"/>
        <w:jc w:val="both"/>
        <w:rPr>
          <w:rFonts w:ascii="Arial" w:hAnsi="Arial" w:cs="Arial"/>
          <w:sz w:val="24"/>
          <w:szCs w:val="24"/>
        </w:rPr>
      </w:pPr>
    </w:p>
    <w:p w14:paraId="0230E329" w14:textId="2B4D5BE9" w:rsidR="00BC0B37" w:rsidRPr="00B114A5" w:rsidRDefault="00164709" w:rsidP="0031313E">
      <w:pPr>
        <w:pStyle w:val="Heading1"/>
        <w:jc w:val="both"/>
        <w:rPr>
          <w:rFonts w:ascii="Arial" w:hAnsi="Arial" w:cs="Arial"/>
          <w:sz w:val="24"/>
          <w:szCs w:val="24"/>
        </w:rPr>
      </w:pPr>
      <w:r w:rsidRPr="00B114A5">
        <w:rPr>
          <w:rFonts w:ascii="Arial" w:hAnsi="Arial" w:cs="Arial"/>
          <w:sz w:val="24"/>
          <w:szCs w:val="24"/>
        </w:rPr>
        <w:t xml:space="preserve">ACTION REPORT </w:t>
      </w:r>
      <w:bookmarkStart w:id="0" w:name="_Hlk17998243"/>
      <w:r w:rsidRPr="00B114A5">
        <w:rPr>
          <w:rFonts w:ascii="Arial" w:hAnsi="Arial" w:cs="Arial"/>
          <w:sz w:val="24"/>
          <w:szCs w:val="24"/>
        </w:rPr>
        <w:t xml:space="preserve">– </w:t>
      </w:r>
      <w:r w:rsidR="00196C97" w:rsidRPr="00B114A5">
        <w:rPr>
          <w:rFonts w:ascii="Arial" w:hAnsi="Arial" w:cs="Arial"/>
          <w:sz w:val="24"/>
          <w:szCs w:val="24"/>
        </w:rPr>
        <w:t>2019 - 2020</w:t>
      </w:r>
      <w:r w:rsidRPr="00B114A5">
        <w:rPr>
          <w:rFonts w:ascii="Arial" w:hAnsi="Arial" w:cs="Arial"/>
          <w:sz w:val="24"/>
          <w:szCs w:val="24"/>
        </w:rPr>
        <w:t xml:space="preserve"> </w:t>
      </w:r>
      <w:bookmarkStart w:id="1" w:name="_Hlk17999786"/>
      <w:r w:rsidR="00196C97" w:rsidRPr="00B114A5">
        <w:rPr>
          <w:rFonts w:ascii="Arial" w:hAnsi="Arial" w:cs="Arial"/>
          <w:sz w:val="24"/>
          <w:szCs w:val="24"/>
        </w:rPr>
        <w:t xml:space="preserve">Significant Adverse Trend – Asset Sustainability Ratio and </w:t>
      </w:r>
      <w:r w:rsidRPr="00B114A5">
        <w:rPr>
          <w:rFonts w:ascii="Arial" w:hAnsi="Arial" w:cs="Arial"/>
          <w:sz w:val="24"/>
          <w:szCs w:val="24"/>
        </w:rPr>
        <w:t>Operating Surplus Ratio</w:t>
      </w:r>
      <w:bookmarkEnd w:id="0"/>
      <w:bookmarkEnd w:id="1"/>
    </w:p>
    <w:p w14:paraId="6D07A9A9" w14:textId="77777777" w:rsidR="00AB5A25" w:rsidRPr="00B931FF" w:rsidRDefault="00AB5A25" w:rsidP="0031313E">
      <w:pPr>
        <w:spacing w:after="0"/>
        <w:jc w:val="both"/>
        <w:rPr>
          <w:rFonts w:ascii="Arial" w:hAnsi="Arial" w:cs="Arial"/>
        </w:rPr>
      </w:pPr>
    </w:p>
    <w:p w14:paraId="31177DA9" w14:textId="75070C69" w:rsidR="00196C97" w:rsidRDefault="00E31567" w:rsidP="0031313E">
      <w:pPr>
        <w:spacing w:after="0"/>
        <w:jc w:val="both"/>
        <w:rPr>
          <w:rFonts w:ascii="Arial" w:hAnsi="Arial" w:cs="Arial"/>
        </w:rPr>
      </w:pPr>
      <w:r w:rsidRPr="00B931FF">
        <w:rPr>
          <w:rFonts w:ascii="Arial" w:hAnsi="Arial" w:cs="Arial"/>
        </w:rPr>
        <w:t>Section 7.12A</w:t>
      </w:r>
      <w:r w:rsidR="00891C46" w:rsidRPr="00B931FF">
        <w:rPr>
          <w:rFonts w:ascii="Arial" w:hAnsi="Arial" w:cs="Arial"/>
        </w:rPr>
        <w:t xml:space="preserve"> </w:t>
      </w:r>
      <w:r w:rsidRPr="00B931FF">
        <w:rPr>
          <w:rFonts w:ascii="Arial" w:hAnsi="Arial" w:cs="Arial"/>
        </w:rPr>
        <w:t xml:space="preserve">(4) of the </w:t>
      </w:r>
      <w:r w:rsidRPr="00B931FF">
        <w:rPr>
          <w:rFonts w:ascii="Arial" w:hAnsi="Arial" w:cs="Arial"/>
          <w:i/>
          <w:iCs/>
        </w:rPr>
        <w:t>Local Government Act 1995</w:t>
      </w:r>
      <w:r w:rsidRPr="00B931FF">
        <w:rPr>
          <w:rFonts w:ascii="Arial" w:hAnsi="Arial" w:cs="Arial"/>
        </w:rPr>
        <w:t xml:space="preserve"> requires a local government to prepare a report stating what action has been taken or is intended to be taken in respect to matters raised within the audit report. The </w:t>
      </w:r>
      <w:sdt>
        <w:sdtPr>
          <w:rPr>
            <w:rFonts w:ascii="Arial" w:hAnsi="Arial" w:cs="Arial"/>
          </w:rPr>
          <w:alias w:val="Company"/>
          <w:tag w:val=""/>
          <w:id w:val="127363442"/>
          <w:placeholder>
            <w:docPart w:val="D48BDCA4E32C4083B07B7659F7F34496"/>
          </w:placeholder>
          <w:dataBinding w:prefixMappings="xmlns:ns0='http://schemas.openxmlformats.org/officeDocument/2006/extended-properties' " w:xpath="/ns0:Properties[1]/ns0:Company[1]" w:storeItemID="{6668398D-A668-4E3E-A5EB-62B293D839F1}"/>
          <w:text/>
        </w:sdtPr>
        <w:sdtEndPr/>
        <w:sdtContent>
          <w:r w:rsidRPr="00B931FF">
            <w:rPr>
              <w:rFonts w:ascii="Arial" w:hAnsi="Arial" w:cs="Arial"/>
            </w:rPr>
            <w:t>Shire of Leonora</w:t>
          </w:r>
        </w:sdtContent>
      </w:sdt>
      <w:r w:rsidRPr="00B931FF">
        <w:rPr>
          <w:rFonts w:ascii="Arial" w:hAnsi="Arial" w:cs="Arial"/>
        </w:rPr>
        <w:t xml:space="preserve">’s </w:t>
      </w:r>
      <w:r w:rsidR="00196C97" w:rsidRPr="00B931FF">
        <w:rPr>
          <w:rFonts w:ascii="Arial" w:hAnsi="Arial" w:cs="Arial"/>
        </w:rPr>
        <w:t>2019-2020</w:t>
      </w:r>
      <w:r w:rsidRPr="00B931FF">
        <w:rPr>
          <w:rFonts w:ascii="Arial" w:hAnsi="Arial" w:cs="Arial"/>
        </w:rPr>
        <w:t xml:space="preserve"> Audit Report from Butler Settineri (Audit) Pty Ltd noted a significant adverse trend for the </w:t>
      </w:r>
      <w:r w:rsidR="00196C97" w:rsidRPr="00B931FF">
        <w:rPr>
          <w:rFonts w:ascii="Arial" w:hAnsi="Arial" w:cs="Arial"/>
        </w:rPr>
        <w:t xml:space="preserve">asset sustainability and </w:t>
      </w:r>
      <w:r w:rsidRPr="00B931FF">
        <w:rPr>
          <w:rFonts w:ascii="Arial" w:hAnsi="Arial" w:cs="Arial"/>
        </w:rPr>
        <w:t>operating surplus ratio</w:t>
      </w:r>
      <w:r w:rsidR="00196C97" w:rsidRPr="00B931FF">
        <w:rPr>
          <w:rFonts w:ascii="Arial" w:hAnsi="Arial" w:cs="Arial"/>
        </w:rPr>
        <w:t>s</w:t>
      </w:r>
      <w:r w:rsidRPr="00B931FF">
        <w:rPr>
          <w:rFonts w:ascii="Arial" w:hAnsi="Arial" w:cs="Arial"/>
        </w:rPr>
        <w:t>.</w:t>
      </w:r>
      <w:r w:rsidR="00B931FF" w:rsidRPr="00B931FF">
        <w:rPr>
          <w:rFonts w:ascii="Arial" w:hAnsi="Arial" w:cs="Arial"/>
        </w:rPr>
        <w:t xml:space="preserve"> </w:t>
      </w:r>
      <w:r w:rsidR="00196C97" w:rsidRPr="00B931FF">
        <w:rPr>
          <w:rFonts w:ascii="Arial" w:hAnsi="Arial" w:cs="Arial"/>
        </w:rPr>
        <w:t>This was also the first year that the audit process had been overseen by the Office of the Auditor General who reported that:</w:t>
      </w:r>
    </w:p>
    <w:p w14:paraId="2A741D12" w14:textId="77777777" w:rsidR="00B931FF" w:rsidRPr="00B931FF" w:rsidRDefault="00B931FF" w:rsidP="0031313E">
      <w:pPr>
        <w:spacing w:after="0"/>
        <w:jc w:val="both"/>
        <w:rPr>
          <w:rFonts w:ascii="Arial" w:hAnsi="Arial" w:cs="Arial"/>
        </w:rPr>
      </w:pPr>
    </w:p>
    <w:p w14:paraId="067D1698" w14:textId="4726CDE5" w:rsidR="00196C97" w:rsidRPr="00B931FF" w:rsidRDefault="00196C97" w:rsidP="0031313E">
      <w:pPr>
        <w:spacing w:after="0"/>
        <w:jc w:val="both"/>
        <w:rPr>
          <w:rFonts w:ascii="Arial" w:hAnsi="Arial" w:cs="Arial"/>
          <w:i/>
          <w:iCs/>
        </w:rPr>
      </w:pPr>
      <w:r w:rsidRPr="00B931FF">
        <w:rPr>
          <w:rFonts w:ascii="Arial" w:hAnsi="Arial" w:cs="Arial"/>
          <w:i/>
          <w:iCs/>
        </w:rPr>
        <w:t>In accordance with the Local</w:t>
      </w:r>
      <w:r w:rsidR="00B931FF">
        <w:rPr>
          <w:rFonts w:ascii="Arial" w:hAnsi="Arial" w:cs="Arial"/>
          <w:i/>
          <w:iCs/>
        </w:rPr>
        <w:t xml:space="preserve"> </w:t>
      </w:r>
      <w:r w:rsidRPr="00B931FF">
        <w:rPr>
          <w:rFonts w:ascii="Arial" w:hAnsi="Arial" w:cs="Arial"/>
          <w:i/>
          <w:iCs/>
        </w:rPr>
        <w:t>Government (Audit) Regulations 1996 I report that:</w:t>
      </w:r>
    </w:p>
    <w:p w14:paraId="680EB1E2" w14:textId="3499BDD3" w:rsidR="00196C97" w:rsidRPr="00B931FF" w:rsidRDefault="00196C97" w:rsidP="00196C97">
      <w:pPr>
        <w:spacing w:after="0"/>
        <w:ind w:left="1440" w:hanging="720"/>
        <w:jc w:val="both"/>
        <w:rPr>
          <w:rFonts w:ascii="Arial" w:hAnsi="Arial" w:cs="Arial"/>
          <w:i/>
          <w:iCs/>
        </w:rPr>
      </w:pPr>
      <w:r w:rsidRPr="00B931FF">
        <w:rPr>
          <w:rFonts w:ascii="Arial" w:hAnsi="Arial" w:cs="Arial"/>
          <w:i/>
          <w:iCs/>
        </w:rPr>
        <w:t>(i)</w:t>
      </w:r>
      <w:r w:rsidRPr="00B931FF">
        <w:rPr>
          <w:rFonts w:ascii="Arial" w:hAnsi="Arial" w:cs="Arial"/>
          <w:i/>
          <w:iCs/>
        </w:rPr>
        <w:tab/>
        <w:t>In my opinion, the following material matters indicate significant adverse trends in the financial position of the shire:</w:t>
      </w:r>
    </w:p>
    <w:p w14:paraId="09141249" w14:textId="765A4363" w:rsidR="00196C97" w:rsidRPr="00B931FF" w:rsidRDefault="00196C97" w:rsidP="00196C97">
      <w:pPr>
        <w:spacing w:after="0"/>
        <w:ind w:left="1440" w:hanging="720"/>
        <w:jc w:val="both"/>
        <w:rPr>
          <w:rFonts w:ascii="Arial" w:hAnsi="Arial" w:cs="Arial"/>
          <w:i/>
          <w:iCs/>
        </w:rPr>
      </w:pPr>
      <w:r w:rsidRPr="00B931FF">
        <w:rPr>
          <w:rFonts w:ascii="Arial" w:hAnsi="Arial" w:cs="Arial"/>
          <w:i/>
          <w:iCs/>
        </w:rPr>
        <w:tab/>
        <w:t>a.</w:t>
      </w:r>
      <w:r w:rsidRPr="00B931FF">
        <w:rPr>
          <w:rFonts w:ascii="Arial" w:hAnsi="Arial" w:cs="Arial"/>
          <w:i/>
          <w:iCs/>
        </w:rPr>
        <w:tab/>
        <w:t xml:space="preserve">The Asset Sustainability Ratio as reported in </w:t>
      </w:r>
      <w:r w:rsidR="00B931FF" w:rsidRPr="00B931FF">
        <w:rPr>
          <w:rFonts w:ascii="Arial" w:hAnsi="Arial" w:cs="Arial"/>
          <w:i/>
          <w:iCs/>
        </w:rPr>
        <w:t>Note 29 of the annual financial</w:t>
      </w:r>
    </w:p>
    <w:p w14:paraId="7FD8114A" w14:textId="23F3F62C" w:rsidR="00B931FF" w:rsidRPr="00B931FF" w:rsidRDefault="00B931FF" w:rsidP="00196C97">
      <w:pPr>
        <w:spacing w:after="0"/>
        <w:ind w:left="1440" w:hanging="720"/>
        <w:jc w:val="both"/>
        <w:rPr>
          <w:rFonts w:ascii="Arial" w:hAnsi="Arial" w:cs="Arial"/>
          <w:i/>
          <w:iCs/>
        </w:rPr>
      </w:pPr>
      <w:r w:rsidRPr="00B931FF">
        <w:rPr>
          <w:rFonts w:ascii="Arial" w:hAnsi="Arial" w:cs="Arial"/>
          <w:i/>
          <w:iCs/>
        </w:rPr>
        <w:tab/>
      </w:r>
      <w:r w:rsidRPr="00B931FF">
        <w:rPr>
          <w:rFonts w:ascii="Arial" w:hAnsi="Arial" w:cs="Arial"/>
          <w:i/>
          <w:iCs/>
        </w:rPr>
        <w:tab/>
        <w:t>report is below the Department of Local Government, Sport and Cultural</w:t>
      </w:r>
    </w:p>
    <w:p w14:paraId="6137AC75" w14:textId="36B59F16" w:rsidR="00B931FF" w:rsidRPr="00B931FF" w:rsidRDefault="00B931FF" w:rsidP="00196C97">
      <w:pPr>
        <w:spacing w:after="0"/>
        <w:ind w:left="1440" w:hanging="720"/>
        <w:jc w:val="both"/>
        <w:rPr>
          <w:rFonts w:ascii="Arial" w:hAnsi="Arial" w:cs="Arial"/>
          <w:i/>
          <w:iCs/>
        </w:rPr>
      </w:pPr>
      <w:r w:rsidRPr="00B931FF">
        <w:rPr>
          <w:rFonts w:ascii="Arial" w:hAnsi="Arial" w:cs="Arial"/>
          <w:i/>
          <w:iCs/>
        </w:rPr>
        <w:tab/>
      </w:r>
      <w:r w:rsidRPr="00B931FF">
        <w:rPr>
          <w:rFonts w:ascii="Arial" w:hAnsi="Arial" w:cs="Arial"/>
          <w:i/>
          <w:iCs/>
        </w:rPr>
        <w:tab/>
        <w:t>Industries’</w:t>
      </w:r>
      <w:r>
        <w:rPr>
          <w:rFonts w:ascii="Arial" w:hAnsi="Arial" w:cs="Arial"/>
          <w:i/>
          <w:iCs/>
        </w:rPr>
        <w:t xml:space="preserve"> </w:t>
      </w:r>
      <w:r w:rsidRPr="00B931FF">
        <w:rPr>
          <w:rFonts w:ascii="Arial" w:hAnsi="Arial" w:cs="Arial"/>
          <w:i/>
          <w:iCs/>
        </w:rPr>
        <w:t>basic standard for the past two years and the current year is</w:t>
      </w:r>
    </w:p>
    <w:p w14:paraId="533DC562" w14:textId="005CF260" w:rsidR="00B931FF" w:rsidRPr="00B931FF" w:rsidRDefault="00B931FF" w:rsidP="00196C97">
      <w:pPr>
        <w:spacing w:after="0"/>
        <w:ind w:left="1440" w:hanging="720"/>
        <w:jc w:val="both"/>
        <w:rPr>
          <w:rFonts w:ascii="Arial" w:hAnsi="Arial" w:cs="Arial"/>
          <w:i/>
          <w:iCs/>
        </w:rPr>
      </w:pPr>
      <w:r w:rsidRPr="00B931FF">
        <w:rPr>
          <w:rFonts w:ascii="Arial" w:hAnsi="Arial" w:cs="Arial"/>
          <w:i/>
          <w:iCs/>
        </w:rPr>
        <w:tab/>
      </w:r>
      <w:r w:rsidRPr="00B931FF">
        <w:rPr>
          <w:rFonts w:ascii="Arial" w:hAnsi="Arial" w:cs="Arial"/>
          <w:i/>
          <w:iCs/>
        </w:rPr>
        <w:tab/>
      </w:r>
      <w:r>
        <w:rPr>
          <w:rFonts w:ascii="Arial" w:hAnsi="Arial" w:cs="Arial"/>
          <w:i/>
          <w:iCs/>
        </w:rPr>
        <w:t>b</w:t>
      </w:r>
      <w:r w:rsidRPr="00B931FF">
        <w:rPr>
          <w:rFonts w:ascii="Arial" w:hAnsi="Arial" w:cs="Arial"/>
          <w:i/>
          <w:iCs/>
        </w:rPr>
        <w:t>elow last year, and</w:t>
      </w:r>
    </w:p>
    <w:p w14:paraId="158A71F2" w14:textId="2919B50D" w:rsidR="00B931FF" w:rsidRPr="00B931FF" w:rsidRDefault="00B931FF" w:rsidP="00196C97">
      <w:pPr>
        <w:spacing w:after="0"/>
        <w:ind w:left="1440" w:hanging="720"/>
        <w:jc w:val="both"/>
        <w:rPr>
          <w:rFonts w:ascii="Arial" w:hAnsi="Arial" w:cs="Arial"/>
          <w:i/>
          <w:iCs/>
        </w:rPr>
      </w:pPr>
      <w:r w:rsidRPr="00B931FF">
        <w:rPr>
          <w:rFonts w:ascii="Arial" w:hAnsi="Arial" w:cs="Arial"/>
          <w:i/>
          <w:iCs/>
        </w:rPr>
        <w:tab/>
        <w:t>b.</w:t>
      </w:r>
      <w:r w:rsidRPr="00B931FF">
        <w:rPr>
          <w:rFonts w:ascii="Arial" w:hAnsi="Arial" w:cs="Arial"/>
          <w:i/>
          <w:iCs/>
        </w:rPr>
        <w:tab/>
        <w:t>The Operating Surplus Ratio as reported in Note 29 of the annual financial</w:t>
      </w:r>
    </w:p>
    <w:p w14:paraId="5A437249" w14:textId="25E83BD0" w:rsidR="00B931FF" w:rsidRPr="00B931FF" w:rsidRDefault="00B931FF" w:rsidP="00196C97">
      <w:pPr>
        <w:spacing w:after="0"/>
        <w:ind w:left="1440" w:hanging="720"/>
        <w:jc w:val="both"/>
        <w:rPr>
          <w:rFonts w:ascii="Arial" w:hAnsi="Arial" w:cs="Arial"/>
          <w:i/>
          <w:iCs/>
        </w:rPr>
      </w:pPr>
      <w:r w:rsidRPr="00B931FF">
        <w:rPr>
          <w:rFonts w:ascii="Arial" w:hAnsi="Arial" w:cs="Arial"/>
          <w:i/>
          <w:iCs/>
        </w:rPr>
        <w:tab/>
      </w:r>
      <w:r w:rsidRPr="00B931FF">
        <w:rPr>
          <w:rFonts w:ascii="Arial" w:hAnsi="Arial" w:cs="Arial"/>
          <w:i/>
          <w:iCs/>
        </w:rPr>
        <w:tab/>
        <w:t xml:space="preserve">report is below the Department of Local Government, Sport and Cultural </w:t>
      </w:r>
    </w:p>
    <w:p w14:paraId="594B730D" w14:textId="51611C06" w:rsidR="00B931FF" w:rsidRPr="00B931FF" w:rsidRDefault="00B931FF" w:rsidP="00196C97">
      <w:pPr>
        <w:spacing w:after="0"/>
        <w:ind w:left="1440" w:hanging="720"/>
        <w:jc w:val="both"/>
        <w:rPr>
          <w:rFonts w:ascii="Arial" w:hAnsi="Arial" w:cs="Arial"/>
          <w:i/>
          <w:iCs/>
        </w:rPr>
      </w:pPr>
      <w:r w:rsidRPr="00B931FF">
        <w:rPr>
          <w:rFonts w:ascii="Arial" w:hAnsi="Arial" w:cs="Arial"/>
          <w:i/>
          <w:iCs/>
        </w:rPr>
        <w:tab/>
      </w:r>
      <w:r w:rsidRPr="00B931FF">
        <w:rPr>
          <w:rFonts w:ascii="Arial" w:hAnsi="Arial" w:cs="Arial"/>
          <w:i/>
          <w:iCs/>
        </w:rPr>
        <w:tab/>
        <w:t>Industries’ basic standard for the past three financial years.</w:t>
      </w:r>
    </w:p>
    <w:p w14:paraId="7E36C4D9" w14:textId="77777777" w:rsidR="00AB5A25" w:rsidRPr="00863647" w:rsidRDefault="00AB5A25" w:rsidP="0031313E">
      <w:pPr>
        <w:spacing w:after="0"/>
        <w:jc w:val="both"/>
        <w:rPr>
          <w:rFonts w:ascii="Times New Roman" w:hAnsi="Times New Roman" w:cs="Times New Roman"/>
        </w:rPr>
      </w:pPr>
    </w:p>
    <w:p w14:paraId="3271567F" w14:textId="2E4939AD" w:rsidR="00B931FF" w:rsidRDefault="00B931FF" w:rsidP="00B931FF">
      <w:pPr>
        <w:pStyle w:val="Heading1"/>
        <w:jc w:val="both"/>
        <w:rPr>
          <w:rFonts w:ascii="Arial" w:hAnsi="Arial" w:cs="Arial"/>
          <w:sz w:val="24"/>
          <w:szCs w:val="24"/>
        </w:rPr>
      </w:pPr>
      <w:r w:rsidRPr="00B114A5">
        <w:rPr>
          <w:rFonts w:ascii="Arial" w:hAnsi="Arial" w:cs="Arial"/>
          <w:sz w:val="24"/>
          <w:szCs w:val="24"/>
        </w:rPr>
        <w:t xml:space="preserve">Shire of Leonora – Asset Sustainability Ratio </w:t>
      </w:r>
    </w:p>
    <w:p w14:paraId="1DC67353" w14:textId="6F7A69E5" w:rsidR="00FA56D4" w:rsidRPr="00FA56D4" w:rsidRDefault="00FA56D4" w:rsidP="00FA56D4">
      <w:pPr>
        <w:spacing w:after="0"/>
        <w:rPr>
          <w:rFonts w:ascii="Arial" w:hAnsi="Arial" w:cs="Arial"/>
          <w:u w:val="single"/>
          <w:lang w:val="en-US"/>
        </w:rPr>
      </w:pPr>
      <w:r w:rsidRPr="00FA56D4">
        <w:rPr>
          <w:rFonts w:ascii="Arial" w:hAnsi="Arial" w:cs="Arial"/>
          <w:lang w:val="en-US"/>
        </w:rPr>
        <w:t>Asset Sustainability Ratio</w:t>
      </w:r>
      <w:r w:rsidRPr="00FA56D4">
        <w:rPr>
          <w:rFonts w:ascii="Arial" w:hAnsi="Arial" w:cs="Arial"/>
          <w:lang w:val="en-US"/>
        </w:rPr>
        <w:tab/>
      </w:r>
      <w:r w:rsidRPr="00FA56D4">
        <w:rPr>
          <w:rFonts w:ascii="Arial" w:hAnsi="Arial" w:cs="Arial"/>
          <w:lang w:val="en-US"/>
        </w:rPr>
        <w:tab/>
      </w:r>
      <w:r w:rsidRPr="00FA56D4">
        <w:rPr>
          <w:rFonts w:ascii="Arial" w:hAnsi="Arial" w:cs="Arial"/>
          <w:lang w:val="en-US"/>
        </w:rPr>
        <w:tab/>
      </w:r>
      <w:r w:rsidRPr="00FA56D4">
        <w:rPr>
          <w:rFonts w:ascii="Arial" w:hAnsi="Arial" w:cs="Arial"/>
          <w:u w:val="single"/>
          <w:lang w:val="en-US"/>
        </w:rPr>
        <w:t>capital renewal and replacement expenditure</w:t>
      </w:r>
    </w:p>
    <w:p w14:paraId="0D82A2B9" w14:textId="44836EA2" w:rsidR="00FA56D4" w:rsidRPr="00FA56D4" w:rsidRDefault="00FA56D4" w:rsidP="00FA56D4">
      <w:pPr>
        <w:spacing w:after="0"/>
        <w:rPr>
          <w:rFonts w:ascii="Arial" w:hAnsi="Arial" w:cs="Arial"/>
          <w:lang w:val="en-US"/>
        </w:rPr>
      </w:pPr>
      <w:r w:rsidRPr="00FA56D4">
        <w:rPr>
          <w:rFonts w:ascii="Arial" w:hAnsi="Arial" w:cs="Arial"/>
          <w:lang w:val="en-US"/>
        </w:rPr>
        <w:tab/>
      </w:r>
      <w:r w:rsidRPr="00FA56D4">
        <w:rPr>
          <w:rFonts w:ascii="Arial" w:hAnsi="Arial" w:cs="Arial"/>
          <w:lang w:val="en-US"/>
        </w:rPr>
        <w:tab/>
      </w:r>
      <w:r w:rsidRPr="00FA56D4">
        <w:rPr>
          <w:rFonts w:ascii="Arial" w:hAnsi="Arial" w:cs="Arial"/>
          <w:lang w:val="en-US"/>
        </w:rPr>
        <w:tab/>
      </w:r>
      <w:r w:rsidRPr="00FA56D4">
        <w:rPr>
          <w:rFonts w:ascii="Arial" w:hAnsi="Arial" w:cs="Arial"/>
          <w:lang w:val="en-US"/>
        </w:rPr>
        <w:tab/>
      </w:r>
      <w:r w:rsidRPr="00FA56D4">
        <w:rPr>
          <w:rFonts w:ascii="Arial" w:hAnsi="Arial" w:cs="Arial"/>
          <w:lang w:val="en-US"/>
        </w:rPr>
        <w:tab/>
      </w:r>
      <w:r w:rsidRPr="00FA56D4">
        <w:rPr>
          <w:rFonts w:ascii="Arial" w:hAnsi="Arial" w:cs="Arial"/>
          <w:lang w:val="en-US"/>
        </w:rPr>
        <w:tab/>
      </w:r>
      <w:r w:rsidRPr="00FA56D4">
        <w:rPr>
          <w:rFonts w:ascii="Arial" w:hAnsi="Arial" w:cs="Arial"/>
          <w:lang w:val="en-US"/>
        </w:rPr>
        <w:tab/>
      </w:r>
      <w:r w:rsidRPr="00FA56D4">
        <w:rPr>
          <w:rFonts w:ascii="Arial" w:hAnsi="Arial" w:cs="Arial"/>
          <w:lang w:val="en-US"/>
        </w:rPr>
        <w:tab/>
      </w:r>
      <w:r w:rsidRPr="00FA56D4">
        <w:rPr>
          <w:rFonts w:ascii="Arial" w:hAnsi="Arial" w:cs="Arial"/>
          <w:lang w:val="en-US"/>
        </w:rPr>
        <w:tab/>
        <w:t>depreciation</w:t>
      </w:r>
    </w:p>
    <w:p w14:paraId="63BE5D66" w14:textId="77777777" w:rsidR="00766E06" w:rsidRDefault="00766E06" w:rsidP="00B931FF">
      <w:pPr>
        <w:spacing w:after="0"/>
        <w:jc w:val="both"/>
        <w:rPr>
          <w:rFonts w:ascii="Arial" w:hAnsi="Arial" w:cs="Arial"/>
        </w:rPr>
      </w:pPr>
    </w:p>
    <w:p w14:paraId="1FD60BF5" w14:textId="0A11B0F5" w:rsidR="00B931FF" w:rsidRPr="00B931FF" w:rsidRDefault="00B931FF" w:rsidP="00B931FF">
      <w:pPr>
        <w:spacing w:after="0"/>
        <w:jc w:val="both"/>
        <w:rPr>
          <w:rFonts w:ascii="Arial" w:hAnsi="Arial" w:cs="Arial"/>
        </w:rPr>
      </w:pPr>
      <w:r w:rsidRPr="00B931FF">
        <w:rPr>
          <w:rFonts w:ascii="Arial" w:hAnsi="Arial" w:cs="Arial"/>
        </w:rPr>
        <w:t xml:space="preserve">The </w:t>
      </w:r>
      <w:r>
        <w:rPr>
          <w:rFonts w:ascii="Arial" w:hAnsi="Arial" w:cs="Arial"/>
        </w:rPr>
        <w:t>Asset Sustainability</w:t>
      </w:r>
      <w:r w:rsidRPr="00B931FF">
        <w:rPr>
          <w:rFonts w:ascii="Arial" w:hAnsi="Arial" w:cs="Arial"/>
        </w:rPr>
        <w:t xml:space="preserve"> </w:t>
      </w:r>
      <w:r>
        <w:rPr>
          <w:rFonts w:ascii="Arial" w:hAnsi="Arial" w:cs="Arial"/>
        </w:rPr>
        <w:t>R</w:t>
      </w:r>
      <w:r w:rsidRPr="00B931FF">
        <w:rPr>
          <w:rFonts w:ascii="Arial" w:hAnsi="Arial" w:cs="Arial"/>
        </w:rPr>
        <w:t xml:space="preserve">atio demonstrates the extent to </w:t>
      </w:r>
      <w:r>
        <w:rPr>
          <w:rFonts w:ascii="Arial" w:hAnsi="Arial" w:cs="Arial"/>
        </w:rPr>
        <w:t xml:space="preserve">which the Shire of Leonora is replacing or renewing existing assets at the same rate that its overall asset stock is wearing out.  A basic standard is met if the ratio is greater than 0.9 and advanced standard is if the ratio is above 1.1. </w:t>
      </w:r>
      <w:r w:rsidRPr="00B931FF">
        <w:rPr>
          <w:rFonts w:ascii="Arial" w:hAnsi="Arial" w:cs="Arial"/>
        </w:rPr>
        <w:t xml:space="preserve">The Shire’s </w:t>
      </w:r>
      <w:r>
        <w:rPr>
          <w:rFonts w:ascii="Arial" w:hAnsi="Arial" w:cs="Arial"/>
        </w:rPr>
        <w:t>Asset Sustainability Ratio</w:t>
      </w:r>
      <w:r w:rsidRPr="00B931FF">
        <w:rPr>
          <w:rFonts w:ascii="Arial" w:hAnsi="Arial" w:cs="Arial"/>
        </w:rPr>
        <w:t xml:space="preserve"> </w:t>
      </w:r>
      <w:r>
        <w:rPr>
          <w:rFonts w:ascii="Arial" w:hAnsi="Arial" w:cs="Arial"/>
        </w:rPr>
        <w:t xml:space="preserve">was at an advanced standard at the end of the 2017/18 financial year, but it is the trend lower that is of concern. </w:t>
      </w:r>
      <w:r w:rsidRPr="00B931FF">
        <w:rPr>
          <w:rFonts w:ascii="Arial" w:hAnsi="Arial" w:cs="Arial"/>
        </w:rPr>
        <w:t xml:space="preserve"> </w:t>
      </w:r>
      <w:r w:rsidR="00C2128F">
        <w:rPr>
          <w:rFonts w:ascii="Arial" w:hAnsi="Arial" w:cs="Arial"/>
        </w:rPr>
        <w:t xml:space="preserve">The ratio over the past three years is listed </w:t>
      </w:r>
      <w:r w:rsidRPr="00B931FF">
        <w:rPr>
          <w:rFonts w:ascii="Arial" w:hAnsi="Arial" w:cs="Arial"/>
        </w:rPr>
        <w:t>below:</w:t>
      </w:r>
    </w:p>
    <w:p w14:paraId="7195679B" w14:textId="5FA70C24" w:rsidR="00B931FF" w:rsidRDefault="00B931FF" w:rsidP="00B931FF">
      <w:pPr>
        <w:spacing w:after="0"/>
        <w:jc w:val="both"/>
        <w:rPr>
          <w:rFonts w:ascii="Arial" w:hAnsi="Arial" w:cs="Arial"/>
        </w:rPr>
      </w:pPr>
    </w:p>
    <w:tbl>
      <w:tblPr>
        <w:tblStyle w:val="TableGrid"/>
        <w:tblW w:w="0" w:type="auto"/>
        <w:jc w:val="center"/>
        <w:tblLook w:val="04A0" w:firstRow="1" w:lastRow="0" w:firstColumn="1" w:lastColumn="0" w:noHBand="0" w:noVBand="1"/>
      </w:tblPr>
      <w:tblGrid>
        <w:gridCol w:w="3005"/>
        <w:gridCol w:w="3005"/>
        <w:gridCol w:w="3006"/>
      </w:tblGrid>
      <w:tr w:rsidR="00B73A42" w:rsidRPr="00B931FF" w14:paraId="5EDD4500" w14:textId="77777777" w:rsidTr="00CA6F28">
        <w:trPr>
          <w:jc w:val="center"/>
        </w:trPr>
        <w:tc>
          <w:tcPr>
            <w:tcW w:w="3005" w:type="dxa"/>
          </w:tcPr>
          <w:p w14:paraId="02461707" w14:textId="77777777" w:rsidR="00B73A42" w:rsidRPr="00B931FF" w:rsidRDefault="00B73A42" w:rsidP="00CA6F28">
            <w:pPr>
              <w:jc w:val="center"/>
              <w:rPr>
                <w:rFonts w:ascii="Arial" w:hAnsi="Arial" w:cs="Arial"/>
                <w:b/>
                <w:bCs/>
              </w:rPr>
            </w:pPr>
            <w:r w:rsidRPr="00B931FF">
              <w:rPr>
                <w:rFonts w:ascii="Arial" w:hAnsi="Arial" w:cs="Arial"/>
                <w:b/>
                <w:bCs/>
              </w:rPr>
              <w:t>201</w:t>
            </w:r>
            <w:r>
              <w:rPr>
                <w:rFonts w:ascii="Arial" w:hAnsi="Arial" w:cs="Arial"/>
                <w:b/>
                <w:bCs/>
              </w:rPr>
              <w:t>8</w:t>
            </w:r>
          </w:p>
        </w:tc>
        <w:tc>
          <w:tcPr>
            <w:tcW w:w="3005" w:type="dxa"/>
          </w:tcPr>
          <w:p w14:paraId="55EE2549" w14:textId="77777777" w:rsidR="00B73A42" w:rsidRPr="00B931FF" w:rsidRDefault="00B73A42" w:rsidP="00CA6F28">
            <w:pPr>
              <w:jc w:val="center"/>
              <w:rPr>
                <w:rFonts w:ascii="Arial" w:hAnsi="Arial" w:cs="Arial"/>
                <w:b/>
                <w:bCs/>
              </w:rPr>
            </w:pPr>
            <w:r w:rsidRPr="00B931FF">
              <w:rPr>
                <w:rFonts w:ascii="Arial" w:hAnsi="Arial" w:cs="Arial"/>
                <w:b/>
                <w:bCs/>
              </w:rPr>
              <w:t>201</w:t>
            </w:r>
            <w:r>
              <w:rPr>
                <w:rFonts w:ascii="Arial" w:hAnsi="Arial" w:cs="Arial"/>
                <w:b/>
                <w:bCs/>
              </w:rPr>
              <w:t>9</w:t>
            </w:r>
          </w:p>
        </w:tc>
        <w:tc>
          <w:tcPr>
            <w:tcW w:w="3006" w:type="dxa"/>
          </w:tcPr>
          <w:p w14:paraId="2C193A45" w14:textId="77777777" w:rsidR="00B73A42" w:rsidRPr="00B931FF" w:rsidRDefault="00B73A42" w:rsidP="00CA6F28">
            <w:pPr>
              <w:jc w:val="center"/>
              <w:rPr>
                <w:rFonts w:ascii="Arial" w:hAnsi="Arial" w:cs="Arial"/>
                <w:b/>
                <w:bCs/>
              </w:rPr>
            </w:pPr>
            <w:r w:rsidRPr="00B931FF">
              <w:rPr>
                <w:rFonts w:ascii="Arial" w:hAnsi="Arial" w:cs="Arial"/>
                <w:b/>
                <w:bCs/>
              </w:rPr>
              <w:t>20</w:t>
            </w:r>
            <w:r>
              <w:rPr>
                <w:rFonts w:ascii="Arial" w:hAnsi="Arial" w:cs="Arial"/>
                <w:b/>
                <w:bCs/>
              </w:rPr>
              <w:t>20</w:t>
            </w:r>
          </w:p>
        </w:tc>
      </w:tr>
      <w:tr w:rsidR="00B73A42" w:rsidRPr="00B931FF" w14:paraId="637AD46F" w14:textId="77777777" w:rsidTr="00CA6F28">
        <w:trPr>
          <w:jc w:val="center"/>
        </w:trPr>
        <w:tc>
          <w:tcPr>
            <w:tcW w:w="3005" w:type="dxa"/>
          </w:tcPr>
          <w:p w14:paraId="69AD0C54" w14:textId="77777777" w:rsidR="00B73A42" w:rsidRPr="00B931FF" w:rsidRDefault="00B73A42" w:rsidP="00CA6F28">
            <w:pPr>
              <w:jc w:val="center"/>
              <w:rPr>
                <w:rFonts w:ascii="Arial" w:hAnsi="Arial" w:cs="Arial"/>
              </w:rPr>
            </w:pPr>
            <w:r>
              <w:rPr>
                <w:rFonts w:ascii="Arial" w:hAnsi="Arial" w:cs="Arial"/>
              </w:rPr>
              <w:t>1.84</w:t>
            </w:r>
          </w:p>
        </w:tc>
        <w:tc>
          <w:tcPr>
            <w:tcW w:w="3005" w:type="dxa"/>
          </w:tcPr>
          <w:p w14:paraId="2EBEF1F8" w14:textId="77777777" w:rsidR="00B73A42" w:rsidRPr="00B931FF" w:rsidRDefault="00B73A42" w:rsidP="00CA6F28">
            <w:pPr>
              <w:jc w:val="center"/>
              <w:rPr>
                <w:rFonts w:ascii="Arial" w:hAnsi="Arial" w:cs="Arial"/>
              </w:rPr>
            </w:pPr>
            <w:r>
              <w:rPr>
                <w:rFonts w:ascii="Arial" w:hAnsi="Arial" w:cs="Arial"/>
              </w:rPr>
              <w:t>0.76</w:t>
            </w:r>
          </w:p>
        </w:tc>
        <w:tc>
          <w:tcPr>
            <w:tcW w:w="3006" w:type="dxa"/>
          </w:tcPr>
          <w:p w14:paraId="6E558FCE" w14:textId="77777777" w:rsidR="00B73A42" w:rsidRPr="00B931FF" w:rsidRDefault="00B73A42" w:rsidP="00CA6F28">
            <w:pPr>
              <w:jc w:val="center"/>
              <w:rPr>
                <w:rFonts w:ascii="Arial" w:hAnsi="Arial" w:cs="Arial"/>
              </w:rPr>
            </w:pPr>
            <w:r>
              <w:rPr>
                <w:rFonts w:ascii="Arial" w:hAnsi="Arial" w:cs="Arial"/>
              </w:rPr>
              <w:t>0.56</w:t>
            </w:r>
          </w:p>
        </w:tc>
      </w:tr>
    </w:tbl>
    <w:p w14:paraId="2689BD29" w14:textId="0D2A9FF2" w:rsidR="00B73A42" w:rsidRDefault="00B73A42" w:rsidP="00B931FF">
      <w:pPr>
        <w:spacing w:after="0"/>
        <w:jc w:val="both"/>
        <w:rPr>
          <w:rFonts w:ascii="Arial" w:hAnsi="Arial" w:cs="Arial"/>
        </w:rPr>
      </w:pPr>
    </w:p>
    <w:p w14:paraId="01C0485E" w14:textId="77777777" w:rsidR="00B73A42" w:rsidRPr="00B114A5" w:rsidRDefault="00B73A42" w:rsidP="00B73A42">
      <w:pPr>
        <w:pStyle w:val="Heading1"/>
        <w:jc w:val="both"/>
        <w:rPr>
          <w:rFonts w:ascii="Arial" w:hAnsi="Arial" w:cs="Arial"/>
          <w:sz w:val="24"/>
          <w:szCs w:val="24"/>
        </w:rPr>
      </w:pPr>
      <w:r w:rsidRPr="00B114A5">
        <w:rPr>
          <w:rFonts w:ascii="Arial" w:hAnsi="Arial" w:cs="Arial"/>
          <w:sz w:val="24"/>
          <w:szCs w:val="24"/>
        </w:rPr>
        <w:t>Explanation for Asset Sustainability Ratio Not Meeting Benchmarks</w:t>
      </w:r>
    </w:p>
    <w:p w14:paraId="48A4EB54" w14:textId="77777777" w:rsidR="00B73A42" w:rsidRDefault="00B73A42" w:rsidP="00B73A42">
      <w:pPr>
        <w:pStyle w:val="Heading1"/>
        <w:jc w:val="both"/>
        <w:rPr>
          <w:rFonts w:ascii="Arial" w:hAnsi="Arial" w:cs="Arial"/>
          <w:b w:val="0"/>
          <w:bCs w:val="0"/>
          <w:color w:val="auto"/>
          <w:sz w:val="22"/>
          <w:szCs w:val="22"/>
        </w:rPr>
      </w:pPr>
    </w:p>
    <w:p w14:paraId="79E4E3A9" w14:textId="44663B87" w:rsidR="00B73A42" w:rsidRDefault="00B73A42" w:rsidP="00B73A42">
      <w:pPr>
        <w:pStyle w:val="Heading1"/>
        <w:jc w:val="both"/>
        <w:rPr>
          <w:rFonts w:ascii="Arial" w:hAnsi="Arial" w:cs="Arial"/>
          <w:b w:val="0"/>
          <w:bCs w:val="0"/>
          <w:color w:val="auto"/>
          <w:sz w:val="22"/>
          <w:szCs w:val="22"/>
        </w:rPr>
      </w:pPr>
      <w:r w:rsidRPr="00C2128F">
        <w:rPr>
          <w:rFonts w:ascii="Arial" w:hAnsi="Arial" w:cs="Arial"/>
          <w:b w:val="0"/>
          <w:bCs w:val="0"/>
          <w:color w:val="auto"/>
          <w:sz w:val="22"/>
          <w:szCs w:val="22"/>
        </w:rPr>
        <w:t>The Asset Sustainability Ratio</w:t>
      </w:r>
      <w:r>
        <w:rPr>
          <w:rFonts w:ascii="Arial" w:hAnsi="Arial" w:cs="Arial"/>
          <w:b w:val="0"/>
          <w:bCs w:val="0"/>
          <w:color w:val="auto"/>
          <w:sz w:val="22"/>
          <w:szCs w:val="22"/>
        </w:rPr>
        <w:t xml:space="preserve"> can be affected by the revaluation of assets and the subsequent increase and decrease in depreciation.  Our road network will be revalued in the 2021/2</w:t>
      </w:r>
      <w:r w:rsidR="00D011C1">
        <w:rPr>
          <w:rFonts w:ascii="Arial" w:hAnsi="Arial" w:cs="Arial"/>
          <w:b w:val="0"/>
          <w:bCs w:val="0"/>
          <w:color w:val="auto"/>
          <w:sz w:val="22"/>
          <w:szCs w:val="22"/>
        </w:rPr>
        <w:t>2</w:t>
      </w:r>
      <w:r>
        <w:rPr>
          <w:rFonts w:ascii="Arial" w:hAnsi="Arial" w:cs="Arial"/>
          <w:b w:val="0"/>
          <w:bCs w:val="0"/>
          <w:color w:val="auto"/>
          <w:sz w:val="22"/>
          <w:szCs w:val="22"/>
        </w:rPr>
        <w:t xml:space="preserve"> Financial Year and the Shire will closely monitor any changes to the depreciation to ensure they are not overstated.</w:t>
      </w:r>
    </w:p>
    <w:p w14:paraId="0135A6A1" w14:textId="7A34973D" w:rsidR="00B73A42" w:rsidRDefault="00B73A42" w:rsidP="00B931FF">
      <w:pPr>
        <w:spacing w:after="0"/>
        <w:jc w:val="both"/>
        <w:rPr>
          <w:rFonts w:ascii="Arial" w:hAnsi="Arial" w:cs="Arial"/>
        </w:rPr>
      </w:pPr>
    </w:p>
    <w:p w14:paraId="3B6C46B8" w14:textId="67AC84DB" w:rsidR="00B931FF" w:rsidRDefault="00C2128F" w:rsidP="00B73A42">
      <w:pPr>
        <w:pStyle w:val="Heading1"/>
        <w:spacing w:line="240" w:lineRule="auto"/>
        <w:jc w:val="both"/>
        <w:rPr>
          <w:rFonts w:ascii="Arial" w:hAnsi="Arial" w:cs="Arial"/>
          <w:b w:val="0"/>
          <w:bCs w:val="0"/>
          <w:color w:val="auto"/>
          <w:sz w:val="22"/>
          <w:szCs w:val="22"/>
        </w:rPr>
      </w:pPr>
      <w:r>
        <w:rPr>
          <w:rFonts w:ascii="Arial" w:hAnsi="Arial" w:cs="Arial"/>
          <w:b w:val="0"/>
          <w:bCs w:val="0"/>
          <w:color w:val="auto"/>
          <w:sz w:val="22"/>
          <w:szCs w:val="22"/>
        </w:rPr>
        <w:lastRenderedPageBreak/>
        <w:t xml:space="preserve">In the 2019/20 </w:t>
      </w:r>
      <w:r w:rsidR="00B73A42">
        <w:rPr>
          <w:rFonts w:ascii="Arial" w:hAnsi="Arial" w:cs="Arial"/>
          <w:b w:val="0"/>
          <w:bCs w:val="0"/>
          <w:color w:val="auto"/>
          <w:sz w:val="22"/>
          <w:szCs w:val="22"/>
        </w:rPr>
        <w:t>F</w:t>
      </w:r>
      <w:r>
        <w:rPr>
          <w:rFonts w:ascii="Arial" w:hAnsi="Arial" w:cs="Arial"/>
          <w:b w:val="0"/>
          <w:bCs w:val="0"/>
          <w:color w:val="auto"/>
          <w:sz w:val="22"/>
          <w:szCs w:val="22"/>
        </w:rPr>
        <w:t xml:space="preserve">inancial </w:t>
      </w:r>
      <w:r w:rsidR="00B73A42">
        <w:rPr>
          <w:rFonts w:ascii="Arial" w:hAnsi="Arial" w:cs="Arial"/>
          <w:b w:val="0"/>
          <w:bCs w:val="0"/>
          <w:color w:val="auto"/>
          <w:sz w:val="22"/>
          <w:szCs w:val="22"/>
        </w:rPr>
        <w:t>Y</w:t>
      </w:r>
      <w:r>
        <w:rPr>
          <w:rFonts w:ascii="Arial" w:hAnsi="Arial" w:cs="Arial"/>
          <w:b w:val="0"/>
          <w:bCs w:val="0"/>
          <w:color w:val="auto"/>
          <w:sz w:val="22"/>
          <w:szCs w:val="22"/>
        </w:rPr>
        <w:t xml:space="preserve">ear there was the </w:t>
      </w:r>
      <w:r w:rsidR="00D011C1">
        <w:rPr>
          <w:rFonts w:ascii="Arial" w:hAnsi="Arial" w:cs="Arial"/>
          <w:b w:val="0"/>
          <w:bCs w:val="0"/>
          <w:color w:val="auto"/>
          <w:sz w:val="22"/>
          <w:szCs w:val="22"/>
        </w:rPr>
        <w:t>e</w:t>
      </w:r>
      <w:r>
        <w:rPr>
          <w:rFonts w:ascii="Arial" w:hAnsi="Arial" w:cs="Arial"/>
          <w:b w:val="0"/>
          <w:bCs w:val="0"/>
          <w:color w:val="auto"/>
          <w:sz w:val="22"/>
          <w:szCs w:val="22"/>
        </w:rPr>
        <w:t xml:space="preserve">ffect of the </w:t>
      </w:r>
      <w:r w:rsidR="00D011C1">
        <w:rPr>
          <w:rFonts w:ascii="Arial" w:hAnsi="Arial" w:cs="Arial"/>
          <w:b w:val="0"/>
          <w:bCs w:val="0"/>
          <w:color w:val="auto"/>
          <w:sz w:val="22"/>
          <w:szCs w:val="22"/>
        </w:rPr>
        <w:t xml:space="preserve">COVID-19 </w:t>
      </w:r>
      <w:r>
        <w:rPr>
          <w:rFonts w:ascii="Arial" w:hAnsi="Arial" w:cs="Arial"/>
          <w:b w:val="0"/>
          <w:bCs w:val="0"/>
          <w:color w:val="auto"/>
          <w:sz w:val="22"/>
          <w:szCs w:val="22"/>
        </w:rPr>
        <w:t>pandemic and the inability to engage contractors to complete new or renewal infrastructure projects, as well as the difficulties in purchasing capital items.</w:t>
      </w:r>
      <w:r w:rsidR="00D011C1">
        <w:rPr>
          <w:rFonts w:ascii="Arial" w:hAnsi="Arial" w:cs="Arial"/>
          <w:b w:val="0"/>
          <w:bCs w:val="0"/>
          <w:color w:val="auto"/>
          <w:sz w:val="22"/>
          <w:szCs w:val="22"/>
        </w:rPr>
        <w:t xml:space="preserve"> The poor seasonal year also impacted on reducing both the maintenance and capital budget expenditure within the road network budget as no rain limited grading</w:t>
      </w:r>
      <w:r w:rsidR="00E34DC4">
        <w:rPr>
          <w:rFonts w:ascii="Arial" w:hAnsi="Arial" w:cs="Arial"/>
          <w:b w:val="0"/>
          <w:bCs w:val="0"/>
          <w:color w:val="auto"/>
          <w:sz w:val="22"/>
          <w:szCs w:val="22"/>
        </w:rPr>
        <w:t xml:space="preserve"> (maintenance)</w:t>
      </w:r>
      <w:r w:rsidR="00D011C1">
        <w:rPr>
          <w:rFonts w:ascii="Arial" w:hAnsi="Arial" w:cs="Arial"/>
          <w:b w:val="0"/>
          <w:bCs w:val="0"/>
          <w:color w:val="auto"/>
          <w:sz w:val="22"/>
          <w:szCs w:val="22"/>
        </w:rPr>
        <w:t xml:space="preserve"> and construction</w:t>
      </w:r>
      <w:r w:rsidR="00E34DC4">
        <w:rPr>
          <w:rFonts w:ascii="Arial" w:hAnsi="Arial" w:cs="Arial"/>
          <w:b w:val="0"/>
          <w:bCs w:val="0"/>
          <w:color w:val="auto"/>
          <w:sz w:val="22"/>
          <w:szCs w:val="22"/>
        </w:rPr>
        <w:t xml:space="preserve"> (renewal)</w:t>
      </w:r>
      <w:r w:rsidR="00D011C1">
        <w:rPr>
          <w:rFonts w:ascii="Arial" w:hAnsi="Arial" w:cs="Arial"/>
          <w:b w:val="0"/>
          <w:bCs w:val="0"/>
          <w:color w:val="auto"/>
          <w:sz w:val="22"/>
          <w:szCs w:val="22"/>
        </w:rPr>
        <w:t xml:space="preserve"> </w:t>
      </w:r>
      <w:r w:rsidR="00E34DC4">
        <w:rPr>
          <w:rFonts w:ascii="Arial" w:hAnsi="Arial" w:cs="Arial"/>
          <w:b w:val="0"/>
          <w:bCs w:val="0"/>
          <w:color w:val="auto"/>
          <w:sz w:val="22"/>
          <w:szCs w:val="22"/>
        </w:rPr>
        <w:t>projects</w:t>
      </w:r>
      <w:r w:rsidR="00D011C1">
        <w:rPr>
          <w:rFonts w:ascii="Arial" w:hAnsi="Arial" w:cs="Arial"/>
          <w:b w:val="0"/>
          <w:bCs w:val="0"/>
          <w:color w:val="auto"/>
          <w:sz w:val="22"/>
          <w:szCs w:val="22"/>
        </w:rPr>
        <w:t>.</w:t>
      </w:r>
    </w:p>
    <w:p w14:paraId="33731AFE" w14:textId="77777777" w:rsidR="00B73A42" w:rsidRPr="00B73A42" w:rsidRDefault="00B73A42" w:rsidP="00B73A42">
      <w:pPr>
        <w:spacing w:after="0" w:line="240" w:lineRule="auto"/>
        <w:rPr>
          <w:rFonts w:ascii="Arial" w:hAnsi="Arial" w:cs="Arial"/>
          <w:lang w:val="en-US"/>
        </w:rPr>
      </w:pPr>
    </w:p>
    <w:p w14:paraId="7F0C9DA1" w14:textId="010DCD3C" w:rsidR="00FA56D4" w:rsidRDefault="00766E06" w:rsidP="00B73A42">
      <w:pPr>
        <w:spacing w:line="240" w:lineRule="auto"/>
        <w:jc w:val="both"/>
        <w:rPr>
          <w:rFonts w:ascii="Arial" w:hAnsi="Arial" w:cs="Arial"/>
          <w:lang w:val="en-US"/>
        </w:rPr>
      </w:pPr>
      <w:r>
        <w:rPr>
          <w:rFonts w:ascii="Arial" w:hAnsi="Arial" w:cs="Arial"/>
          <w:lang w:val="en-US"/>
        </w:rPr>
        <w:t>It is intended for future renewal works to be undertaken in accordance with our Integrated Planning and Reporting Plans.</w:t>
      </w:r>
    </w:p>
    <w:p w14:paraId="05535278" w14:textId="77777777" w:rsidR="00B73A42" w:rsidRDefault="00B73A42" w:rsidP="00B73A42">
      <w:pPr>
        <w:pStyle w:val="Heading1"/>
        <w:jc w:val="both"/>
        <w:rPr>
          <w:rStyle w:val="Heading1Char"/>
          <w:rFonts w:ascii="Arial" w:hAnsi="Arial" w:cs="Arial"/>
          <w:b/>
          <w:bCs/>
          <w:sz w:val="24"/>
          <w:szCs w:val="24"/>
        </w:rPr>
      </w:pPr>
      <w:r w:rsidRPr="00B114A5">
        <w:rPr>
          <w:rFonts w:ascii="Arial" w:hAnsi="Arial" w:cs="Arial"/>
          <w:sz w:val="24"/>
          <w:szCs w:val="24"/>
        </w:rPr>
        <w:t>Act</w:t>
      </w:r>
      <w:r w:rsidRPr="00B114A5">
        <w:rPr>
          <w:rStyle w:val="Heading1Char"/>
          <w:rFonts w:ascii="Arial" w:hAnsi="Arial" w:cs="Arial"/>
          <w:b/>
          <w:bCs/>
          <w:sz w:val="24"/>
          <w:szCs w:val="24"/>
        </w:rPr>
        <w:t xml:space="preserve">ions Proposed to Address the </w:t>
      </w:r>
      <w:r>
        <w:rPr>
          <w:rStyle w:val="Heading1Char"/>
          <w:rFonts w:ascii="Arial" w:hAnsi="Arial" w:cs="Arial"/>
          <w:b/>
          <w:bCs/>
          <w:sz w:val="24"/>
          <w:szCs w:val="24"/>
        </w:rPr>
        <w:t>Asset Sustainability</w:t>
      </w:r>
      <w:r w:rsidRPr="00B114A5">
        <w:rPr>
          <w:rStyle w:val="Heading1Char"/>
          <w:rFonts w:ascii="Arial" w:hAnsi="Arial" w:cs="Arial"/>
          <w:b/>
          <w:bCs/>
          <w:sz w:val="24"/>
          <w:szCs w:val="24"/>
        </w:rPr>
        <w:t xml:space="preserve"> Ratio</w:t>
      </w:r>
    </w:p>
    <w:p w14:paraId="60FC920A" w14:textId="77777777" w:rsidR="00B73A42" w:rsidRDefault="00B73A42" w:rsidP="00B73A42">
      <w:pPr>
        <w:pStyle w:val="Heading1"/>
        <w:jc w:val="both"/>
        <w:rPr>
          <w:rStyle w:val="Heading1Char"/>
          <w:rFonts w:ascii="Arial" w:hAnsi="Arial" w:cs="Arial"/>
          <w:b/>
          <w:bCs/>
          <w:sz w:val="24"/>
          <w:szCs w:val="24"/>
        </w:rPr>
      </w:pPr>
    </w:p>
    <w:p w14:paraId="48BDD961" w14:textId="15A6B907" w:rsidR="00B73A42" w:rsidRPr="00B73A42" w:rsidRDefault="00B73A42" w:rsidP="00B73A42">
      <w:pPr>
        <w:pStyle w:val="Heading1"/>
        <w:jc w:val="both"/>
        <w:rPr>
          <w:rStyle w:val="Heading1Char"/>
          <w:rFonts w:ascii="Arial" w:hAnsi="Arial" w:cs="Arial"/>
          <w:color w:val="auto"/>
          <w:sz w:val="22"/>
          <w:szCs w:val="22"/>
        </w:rPr>
      </w:pPr>
      <w:r w:rsidRPr="00B73A42">
        <w:rPr>
          <w:rStyle w:val="Heading1Char"/>
          <w:rFonts w:ascii="Arial" w:hAnsi="Arial" w:cs="Arial"/>
          <w:color w:val="auto"/>
          <w:sz w:val="22"/>
          <w:szCs w:val="22"/>
        </w:rPr>
        <w:t>Inc</w:t>
      </w:r>
      <w:r>
        <w:rPr>
          <w:rStyle w:val="Heading1Char"/>
          <w:rFonts w:ascii="Arial" w:hAnsi="Arial" w:cs="Arial"/>
          <w:color w:val="auto"/>
          <w:sz w:val="22"/>
          <w:szCs w:val="22"/>
        </w:rPr>
        <w:t xml:space="preserve">reased scrutiny of the revaluation of infrastructure and its affect on depreciation, and greater alignment with the Long Term Financial Plan and the implementation of any programs to ensure that all renewal projects are captured as such, and not under the maintenance budget. Within the financial resources of the Shire of Leonora, </w:t>
      </w:r>
      <w:r w:rsidR="005E0381">
        <w:rPr>
          <w:rStyle w:val="Heading1Char"/>
          <w:rFonts w:ascii="Arial" w:hAnsi="Arial" w:cs="Arial"/>
          <w:color w:val="auto"/>
          <w:sz w:val="22"/>
          <w:szCs w:val="22"/>
        </w:rPr>
        <w:t>focus attention on grant funding for renewal projects and increase expenditure through accessing funds set aside in Reserves.</w:t>
      </w:r>
    </w:p>
    <w:p w14:paraId="6A07CFDA" w14:textId="77777777" w:rsidR="00B73A42" w:rsidRPr="00C2128F" w:rsidRDefault="00B73A42" w:rsidP="00B73A42">
      <w:pPr>
        <w:spacing w:line="240" w:lineRule="auto"/>
        <w:jc w:val="both"/>
        <w:rPr>
          <w:rFonts w:ascii="Arial" w:hAnsi="Arial" w:cs="Arial"/>
          <w:lang w:val="en-US"/>
        </w:rPr>
      </w:pPr>
    </w:p>
    <w:p w14:paraId="0C40214D" w14:textId="77777777" w:rsidR="00FA56D4" w:rsidRPr="00B114A5" w:rsidRDefault="00E31567" w:rsidP="0031313E">
      <w:pPr>
        <w:pStyle w:val="Heading1"/>
        <w:jc w:val="both"/>
        <w:rPr>
          <w:rFonts w:ascii="Arial" w:hAnsi="Arial" w:cs="Arial"/>
          <w:sz w:val="24"/>
          <w:szCs w:val="24"/>
        </w:rPr>
      </w:pPr>
      <w:r w:rsidRPr="00B114A5">
        <w:rPr>
          <w:rFonts w:ascii="Arial" w:hAnsi="Arial" w:cs="Arial"/>
          <w:sz w:val="24"/>
          <w:szCs w:val="24"/>
        </w:rPr>
        <w:t>Shire of Leonora – Operating Surplus Ratio</w:t>
      </w:r>
    </w:p>
    <w:p w14:paraId="244081F7" w14:textId="77777777" w:rsidR="00FA56D4" w:rsidRDefault="00FA56D4" w:rsidP="0031313E">
      <w:pPr>
        <w:pStyle w:val="Heading1"/>
        <w:jc w:val="both"/>
        <w:rPr>
          <w:rFonts w:ascii="Arial" w:hAnsi="Arial" w:cs="Arial"/>
          <w:sz w:val="22"/>
          <w:szCs w:val="22"/>
        </w:rPr>
      </w:pPr>
    </w:p>
    <w:p w14:paraId="64CA8EED" w14:textId="3E4D19F1" w:rsidR="00FA56D4" w:rsidRPr="00FA56D4" w:rsidRDefault="00603A08" w:rsidP="00FA56D4">
      <w:pPr>
        <w:spacing w:after="0"/>
        <w:rPr>
          <w:rFonts w:ascii="Arial" w:hAnsi="Arial" w:cs="Arial"/>
          <w:u w:val="single"/>
          <w:lang w:val="en-US"/>
        </w:rPr>
      </w:pPr>
      <w:r w:rsidRPr="00FA56D4">
        <w:rPr>
          <w:rFonts w:ascii="Arial" w:hAnsi="Arial" w:cs="Arial"/>
          <w:b/>
          <w:bCs/>
        </w:rPr>
        <w:t xml:space="preserve"> </w:t>
      </w:r>
      <w:r w:rsidR="00B114A5">
        <w:rPr>
          <w:rFonts w:ascii="Arial" w:hAnsi="Arial" w:cs="Arial"/>
          <w:lang w:val="en-US"/>
        </w:rPr>
        <w:t>Operating Surplus</w:t>
      </w:r>
      <w:r w:rsidR="00FA56D4" w:rsidRPr="00FA56D4">
        <w:rPr>
          <w:rFonts w:ascii="Arial" w:hAnsi="Arial" w:cs="Arial"/>
          <w:lang w:val="en-US"/>
        </w:rPr>
        <w:t xml:space="preserve"> Ratio</w:t>
      </w:r>
      <w:r w:rsidR="00FA56D4" w:rsidRPr="00FA56D4">
        <w:rPr>
          <w:rFonts w:ascii="Arial" w:hAnsi="Arial" w:cs="Arial"/>
          <w:lang w:val="en-US"/>
        </w:rPr>
        <w:tab/>
      </w:r>
      <w:r w:rsidR="00FA56D4" w:rsidRPr="00FA56D4">
        <w:rPr>
          <w:rFonts w:ascii="Arial" w:hAnsi="Arial" w:cs="Arial"/>
          <w:lang w:val="en-US"/>
        </w:rPr>
        <w:tab/>
      </w:r>
      <w:r w:rsidR="00B114A5">
        <w:rPr>
          <w:rFonts w:ascii="Arial" w:hAnsi="Arial" w:cs="Arial"/>
          <w:u w:val="single"/>
          <w:lang w:val="en-US"/>
        </w:rPr>
        <w:t>Operating Revenue MINUS Operating Expenditure</w:t>
      </w:r>
    </w:p>
    <w:p w14:paraId="49D9F848" w14:textId="3A1AB1B4" w:rsidR="00FA56D4" w:rsidRPr="00FA56D4" w:rsidRDefault="00FA56D4" w:rsidP="00FA56D4">
      <w:pPr>
        <w:spacing w:after="0"/>
        <w:rPr>
          <w:rFonts w:ascii="Arial" w:hAnsi="Arial" w:cs="Arial"/>
          <w:lang w:val="en-US"/>
        </w:rPr>
      </w:pPr>
      <w:r w:rsidRPr="00FA56D4">
        <w:rPr>
          <w:rFonts w:ascii="Arial" w:hAnsi="Arial" w:cs="Arial"/>
          <w:lang w:val="en-US"/>
        </w:rPr>
        <w:tab/>
      </w:r>
      <w:r w:rsidRPr="00FA56D4">
        <w:rPr>
          <w:rFonts w:ascii="Arial" w:hAnsi="Arial" w:cs="Arial"/>
          <w:lang w:val="en-US"/>
        </w:rPr>
        <w:tab/>
      </w:r>
      <w:r w:rsidRPr="00FA56D4">
        <w:rPr>
          <w:rFonts w:ascii="Arial" w:hAnsi="Arial" w:cs="Arial"/>
          <w:lang w:val="en-US"/>
        </w:rPr>
        <w:tab/>
      </w:r>
      <w:r w:rsidRPr="00FA56D4">
        <w:rPr>
          <w:rFonts w:ascii="Arial" w:hAnsi="Arial" w:cs="Arial"/>
          <w:lang w:val="en-US"/>
        </w:rPr>
        <w:tab/>
      </w:r>
      <w:r w:rsidRPr="00FA56D4">
        <w:rPr>
          <w:rFonts w:ascii="Arial" w:hAnsi="Arial" w:cs="Arial"/>
          <w:lang w:val="en-US"/>
        </w:rPr>
        <w:tab/>
      </w:r>
      <w:r w:rsidRPr="00FA56D4">
        <w:rPr>
          <w:rFonts w:ascii="Arial" w:hAnsi="Arial" w:cs="Arial"/>
          <w:lang w:val="en-US"/>
        </w:rPr>
        <w:tab/>
      </w:r>
      <w:r w:rsidRPr="00FA56D4">
        <w:rPr>
          <w:rFonts w:ascii="Arial" w:hAnsi="Arial" w:cs="Arial"/>
          <w:lang w:val="en-US"/>
        </w:rPr>
        <w:tab/>
      </w:r>
      <w:r w:rsidR="00B114A5">
        <w:rPr>
          <w:rFonts w:ascii="Arial" w:hAnsi="Arial" w:cs="Arial"/>
          <w:lang w:val="en-US"/>
        </w:rPr>
        <w:t>Own Source Operating Revenue</w:t>
      </w:r>
    </w:p>
    <w:p w14:paraId="69174AB6" w14:textId="4A16C85C" w:rsidR="00E31567" w:rsidRPr="00FA56D4" w:rsidRDefault="00FA56D4" w:rsidP="0031313E">
      <w:pPr>
        <w:pStyle w:val="Heading1"/>
        <w:jc w:val="both"/>
        <w:rPr>
          <w:rFonts w:ascii="Arial" w:hAnsi="Arial" w:cs="Arial"/>
          <w:b w:val="0"/>
          <w:bCs w:val="0"/>
          <w:color w:val="auto"/>
          <w:sz w:val="22"/>
          <w:szCs w:val="22"/>
        </w:rPr>
      </w:pPr>
      <w:r>
        <w:rPr>
          <w:rFonts w:ascii="Arial" w:hAnsi="Arial" w:cs="Arial"/>
          <w:b w:val="0"/>
          <w:bCs w:val="0"/>
          <w:color w:val="auto"/>
          <w:sz w:val="22"/>
          <w:szCs w:val="22"/>
        </w:rPr>
        <w:tab/>
      </w:r>
      <w:r w:rsidRPr="00FA56D4">
        <w:rPr>
          <w:rFonts w:ascii="Arial" w:hAnsi="Arial" w:cs="Arial"/>
          <w:b w:val="0"/>
          <w:bCs w:val="0"/>
          <w:color w:val="auto"/>
          <w:sz w:val="22"/>
          <w:szCs w:val="22"/>
        </w:rPr>
        <w:tab/>
      </w:r>
    </w:p>
    <w:p w14:paraId="1253248E" w14:textId="6F311EBC" w:rsidR="00E31567" w:rsidRPr="00FA56D4" w:rsidRDefault="00854F88" w:rsidP="0031313E">
      <w:pPr>
        <w:spacing w:after="0"/>
        <w:jc w:val="both"/>
        <w:rPr>
          <w:rFonts w:ascii="Arial" w:hAnsi="Arial" w:cs="Arial"/>
        </w:rPr>
      </w:pPr>
      <w:r w:rsidRPr="00FA56D4">
        <w:rPr>
          <w:rFonts w:ascii="Arial" w:hAnsi="Arial" w:cs="Arial"/>
        </w:rPr>
        <w:t>The operating surplus ratio demonstrates the extent to which operating revenues cover operating expenses</w:t>
      </w:r>
      <w:r w:rsidR="005576FD" w:rsidRPr="00FA56D4">
        <w:rPr>
          <w:rFonts w:ascii="Arial" w:hAnsi="Arial" w:cs="Arial"/>
        </w:rPr>
        <w:t xml:space="preserve"> (including depreciation)</w:t>
      </w:r>
      <w:r w:rsidRPr="00FA56D4">
        <w:rPr>
          <w:rFonts w:ascii="Arial" w:hAnsi="Arial" w:cs="Arial"/>
        </w:rPr>
        <w:t xml:space="preserve">, with a positive operating surplus ratio considered by the Department an indicator of long-term </w:t>
      </w:r>
      <w:r w:rsidR="00E31567" w:rsidRPr="00FA56D4">
        <w:rPr>
          <w:rFonts w:ascii="Arial" w:hAnsi="Arial" w:cs="Arial"/>
        </w:rPr>
        <w:t xml:space="preserve">financial </w:t>
      </w:r>
      <w:r w:rsidRPr="00FA56D4">
        <w:rPr>
          <w:rFonts w:ascii="Arial" w:hAnsi="Arial" w:cs="Arial"/>
        </w:rPr>
        <w:t xml:space="preserve">sustainability. The Shire’s operating surplus ratio has experienced movement over the </w:t>
      </w:r>
      <w:r w:rsidR="00E31567" w:rsidRPr="00FA56D4">
        <w:rPr>
          <w:rFonts w:ascii="Arial" w:hAnsi="Arial" w:cs="Arial"/>
        </w:rPr>
        <w:t xml:space="preserve">previous </w:t>
      </w:r>
      <w:r w:rsidRPr="00FA56D4">
        <w:rPr>
          <w:rFonts w:ascii="Arial" w:hAnsi="Arial" w:cs="Arial"/>
        </w:rPr>
        <w:t>three years</w:t>
      </w:r>
      <w:r w:rsidR="00E31567" w:rsidRPr="00FA56D4">
        <w:rPr>
          <w:rFonts w:ascii="Arial" w:hAnsi="Arial" w:cs="Arial"/>
        </w:rPr>
        <w:t xml:space="preserve"> </w:t>
      </w:r>
      <w:r w:rsidR="00DF00C1" w:rsidRPr="00FA56D4">
        <w:rPr>
          <w:rFonts w:ascii="Arial" w:hAnsi="Arial" w:cs="Arial"/>
        </w:rPr>
        <w:t>as below</w:t>
      </w:r>
      <w:r w:rsidR="00FA56D4">
        <w:rPr>
          <w:rFonts w:ascii="Arial" w:hAnsi="Arial" w:cs="Arial"/>
        </w:rPr>
        <w:t xml:space="preserve"> but is following a </w:t>
      </w:r>
      <w:r w:rsidR="00B114A5">
        <w:rPr>
          <w:rFonts w:ascii="Arial" w:hAnsi="Arial" w:cs="Arial"/>
        </w:rPr>
        <w:t xml:space="preserve">positive </w:t>
      </w:r>
      <w:r w:rsidR="00FA56D4">
        <w:rPr>
          <w:rFonts w:ascii="Arial" w:hAnsi="Arial" w:cs="Arial"/>
        </w:rPr>
        <w:t>trend upwards</w:t>
      </w:r>
      <w:r w:rsidR="008404B9" w:rsidRPr="00FA56D4">
        <w:rPr>
          <w:rFonts w:ascii="Arial" w:hAnsi="Arial" w:cs="Arial"/>
        </w:rPr>
        <w:t>:</w:t>
      </w:r>
    </w:p>
    <w:p w14:paraId="4F698BB0" w14:textId="77777777" w:rsidR="00AB5A25" w:rsidRPr="00FA56D4" w:rsidRDefault="00AB5A25" w:rsidP="0031313E">
      <w:pPr>
        <w:spacing w:after="0"/>
        <w:jc w:val="both"/>
        <w:rPr>
          <w:rFonts w:ascii="Arial" w:hAnsi="Arial" w:cs="Arial"/>
        </w:rPr>
      </w:pPr>
    </w:p>
    <w:tbl>
      <w:tblPr>
        <w:tblStyle w:val="TableGrid"/>
        <w:tblW w:w="0" w:type="auto"/>
        <w:jc w:val="center"/>
        <w:tblLook w:val="04A0" w:firstRow="1" w:lastRow="0" w:firstColumn="1" w:lastColumn="0" w:noHBand="0" w:noVBand="1"/>
      </w:tblPr>
      <w:tblGrid>
        <w:gridCol w:w="3005"/>
        <w:gridCol w:w="3005"/>
        <w:gridCol w:w="3006"/>
      </w:tblGrid>
      <w:tr w:rsidR="00FA56D4" w:rsidRPr="00FA56D4" w14:paraId="49222E41" w14:textId="77777777" w:rsidTr="008404B9">
        <w:trPr>
          <w:jc w:val="center"/>
        </w:trPr>
        <w:tc>
          <w:tcPr>
            <w:tcW w:w="3005" w:type="dxa"/>
          </w:tcPr>
          <w:p w14:paraId="7CBC96A5" w14:textId="4D725158" w:rsidR="00FA56D4" w:rsidRPr="00FA56D4" w:rsidRDefault="00FA56D4" w:rsidP="00FA56D4">
            <w:pPr>
              <w:jc w:val="center"/>
              <w:rPr>
                <w:rFonts w:ascii="Arial" w:hAnsi="Arial" w:cs="Arial"/>
                <w:b/>
                <w:bCs/>
              </w:rPr>
            </w:pPr>
            <w:r w:rsidRPr="00FA56D4">
              <w:rPr>
                <w:rFonts w:ascii="Arial" w:hAnsi="Arial" w:cs="Arial"/>
                <w:b/>
                <w:bCs/>
              </w:rPr>
              <w:t>2018</w:t>
            </w:r>
          </w:p>
        </w:tc>
        <w:tc>
          <w:tcPr>
            <w:tcW w:w="3005" w:type="dxa"/>
          </w:tcPr>
          <w:p w14:paraId="69EC3CB6" w14:textId="73C7FD67" w:rsidR="00FA56D4" w:rsidRPr="00FA56D4" w:rsidRDefault="00FA56D4" w:rsidP="00FA56D4">
            <w:pPr>
              <w:jc w:val="center"/>
              <w:rPr>
                <w:rFonts w:ascii="Arial" w:hAnsi="Arial" w:cs="Arial"/>
                <w:b/>
                <w:bCs/>
              </w:rPr>
            </w:pPr>
            <w:r w:rsidRPr="00FA56D4">
              <w:rPr>
                <w:rFonts w:ascii="Arial" w:hAnsi="Arial" w:cs="Arial"/>
                <w:b/>
                <w:bCs/>
              </w:rPr>
              <w:t>2019</w:t>
            </w:r>
          </w:p>
        </w:tc>
        <w:tc>
          <w:tcPr>
            <w:tcW w:w="3006" w:type="dxa"/>
          </w:tcPr>
          <w:p w14:paraId="26E20D3A" w14:textId="7E349855" w:rsidR="00FA56D4" w:rsidRPr="00FA56D4" w:rsidRDefault="00FA56D4" w:rsidP="00FA56D4">
            <w:pPr>
              <w:jc w:val="center"/>
              <w:rPr>
                <w:rFonts w:ascii="Arial" w:hAnsi="Arial" w:cs="Arial"/>
                <w:b/>
                <w:bCs/>
              </w:rPr>
            </w:pPr>
            <w:r w:rsidRPr="00FA56D4">
              <w:rPr>
                <w:rFonts w:ascii="Arial" w:hAnsi="Arial" w:cs="Arial"/>
                <w:b/>
                <w:bCs/>
              </w:rPr>
              <w:t>2020</w:t>
            </w:r>
          </w:p>
        </w:tc>
      </w:tr>
      <w:tr w:rsidR="008404B9" w:rsidRPr="00FA56D4" w14:paraId="6CAD5D47" w14:textId="77777777" w:rsidTr="008404B9">
        <w:trPr>
          <w:jc w:val="center"/>
        </w:trPr>
        <w:tc>
          <w:tcPr>
            <w:tcW w:w="3005" w:type="dxa"/>
          </w:tcPr>
          <w:p w14:paraId="3F5558B1" w14:textId="407BA259" w:rsidR="008404B9" w:rsidRPr="00FA56D4" w:rsidRDefault="008404B9" w:rsidP="0031313E">
            <w:pPr>
              <w:jc w:val="center"/>
              <w:rPr>
                <w:rFonts w:ascii="Arial" w:hAnsi="Arial" w:cs="Arial"/>
              </w:rPr>
            </w:pPr>
            <w:r w:rsidRPr="00FA56D4">
              <w:rPr>
                <w:rFonts w:ascii="Arial" w:hAnsi="Arial" w:cs="Arial"/>
              </w:rPr>
              <w:t>(0.</w:t>
            </w:r>
            <w:r w:rsidR="00FA56D4">
              <w:rPr>
                <w:rFonts w:ascii="Arial" w:hAnsi="Arial" w:cs="Arial"/>
              </w:rPr>
              <w:t>11</w:t>
            </w:r>
            <w:r w:rsidRPr="00FA56D4">
              <w:rPr>
                <w:rFonts w:ascii="Arial" w:hAnsi="Arial" w:cs="Arial"/>
              </w:rPr>
              <w:t>)</w:t>
            </w:r>
          </w:p>
        </w:tc>
        <w:tc>
          <w:tcPr>
            <w:tcW w:w="3005" w:type="dxa"/>
          </w:tcPr>
          <w:p w14:paraId="4838596A" w14:textId="098C63FF" w:rsidR="008404B9" w:rsidRPr="00FA56D4" w:rsidRDefault="008404B9" w:rsidP="0031313E">
            <w:pPr>
              <w:jc w:val="center"/>
              <w:rPr>
                <w:rFonts w:ascii="Arial" w:hAnsi="Arial" w:cs="Arial"/>
              </w:rPr>
            </w:pPr>
            <w:r w:rsidRPr="00FA56D4">
              <w:rPr>
                <w:rFonts w:ascii="Arial" w:hAnsi="Arial" w:cs="Arial"/>
              </w:rPr>
              <w:t>(0.</w:t>
            </w:r>
            <w:r w:rsidR="00FA56D4">
              <w:rPr>
                <w:rFonts w:ascii="Arial" w:hAnsi="Arial" w:cs="Arial"/>
              </w:rPr>
              <w:t>04</w:t>
            </w:r>
            <w:r w:rsidRPr="00FA56D4">
              <w:rPr>
                <w:rFonts w:ascii="Arial" w:hAnsi="Arial" w:cs="Arial"/>
              </w:rPr>
              <w:t>)</w:t>
            </w:r>
          </w:p>
        </w:tc>
        <w:tc>
          <w:tcPr>
            <w:tcW w:w="3006" w:type="dxa"/>
          </w:tcPr>
          <w:p w14:paraId="34CB0C8D" w14:textId="5BC654E9" w:rsidR="008404B9" w:rsidRPr="00FA56D4" w:rsidRDefault="008404B9" w:rsidP="0031313E">
            <w:pPr>
              <w:jc w:val="center"/>
              <w:rPr>
                <w:rFonts w:ascii="Arial" w:hAnsi="Arial" w:cs="Arial"/>
              </w:rPr>
            </w:pPr>
            <w:r w:rsidRPr="00FA56D4">
              <w:rPr>
                <w:rFonts w:ascii="Arial" w:hAnsi="Arial" w:cs="Arial"/>
              </w:rPr>
              <w:t>(0.0</w:t>
            </w:r>
            <w:r w:rsidR="00FA56D4">
              <w:rPr>
                <w:rFonts w:ascii="Arial" w:hAnsi="Arial" w:cs="Arial"/>
              </w:rPr>
              <w:t>1</w:t>
            </w:r>
            <w:r w:rsidRPr="00FA56D4">
              <w:rPr>
                <w:rFonts w:ascii="Arial" w:hAnsi="Arial" w:cs="Arial"/>
              </w:rPr>
              <w:t>)</w:t>
            </w:r>
          </w:p>
        </w:tc>
      </w:tr>
    </w:tbl>
    <w:p w14:paraId="7115FEDA" w14:textId="77777777" w:rsidR="008404B9" w:rsidRPr="00FA56D4" w:rsidRDefault="008404B9" w:rsidP="0031313E">
      <w:pPr>
        <w:spacing w:after="0"/>
        <w:jc w:val="both"/>
        <w:rPr>
          <w:rFonts w:ascii="Arial" w:hAnsi="Arial" w:cs="Arial"/>
        </w:rPr>
      </w:pPr>
    </w:p>
    <w:p w14:paraId="47CB3CB3" w14:textId="43D715A6" w:rsidR="00603A08" w:rsidRPr="00FA56D4" w:rsidRDefault="00E31567" w:rsidP="0031313E">
      <w:pPr>
        <w:spacing w:after="0"/>
        <w:jc w:val="both"/>
        <w:rPr>
          <w:rFonts w:ascii="Arial" w:hAnsi="Arial" w:cs="Arial"/>
        </w:rPr>
      </w:pPr>
      <w:r w:rsidRPr="00FA56D4">
        <w:rPr>
          <w:rFonts w:ascii="Arial" w:hAnsi="Arial" w:cs="Arial"/>
        </w:rPr>
        <w:t xml:space="preserve">The basic benchmark set by the Department of Local Government, Sport and Cultural Industries (the Department) for the operating surplus ratio is 0.01 – 0.15. Ratios higher than 0.15 </w:t>
      </w:r>
      <w:r w:rsidR="00B114A5" w:rsidRPr="00FA56D4">
        <w:rPr>
          <w:rFonts w:ascii="Arial" w:hAnsi="Arial" w:cs="Arial"/>
        </w:rPr>
        <w:t>are</w:t>
      </w:r>
      <w:r w:rsidRPr="00FA56D4">
        <w:rPr>
          <w:rFonts w:ascii="Arial" w:hAnsi="Arial" w:cs="Arial"/>
        </w:rPr>
        <w:t xml:space="preserve"> in the desirable benchmark range set by the Department. </w:t>
      </w:r>
    </w:p>
    <w:p w14:paraId="4BE89EEC" w14:textId="77777777" w:rsidR="00B114A5" w:rsidRDefault="00B114A5" w:rsidP="0031313E">
      <w:pPr>
        <w:pStyle w:val="Heading1"/>
        <w:jc w:val="both"/>
      </w:pPr>
    </w:p>
    <w:p w14:paraId="19668725" w14:textId="2D6662CA" w:rsidR="00603A08" w:rsidRPr="00B114A5" w:rsidRDefault="00603A08" w:rsidP="0031313E">
      <w:pPr>
        <w:pStyle w:val="Heading1"/>
        <w:jc w:val="both"/>
        <w:rPr>
          <w:rFonts w:ascii="Arial" w:hAnsi="Arial" w:cs="Arial"/>
          <w:sz w:val="24"/>
          <w:szCs w:val="24"/>
        </w:rPr>
      </w:pPr>
      <w:r w:rsidRPr="00B114A5">
        <w:rPr>
          <w:rFonts w:ascii="Arial" w:hAnsi="Arial" w:cs="Arial"/>
          <w:sz w:val="24"/>
          <w:szCs w:val="24"/>
        </w:rPr>
        <w:t>Explanation for Operating Surplus Ratio Not Meeting Benchmarks</w:t>
      </w:r>
    </w:p>
    <w:p w14:paraId="59E6FD3D" w14:textId="77777777" w:rsidR="00AB5A25" w:rsidRPr="00AB5A25" w:rsidRDefault="00AB5A25" w:rsidP="0031313E">
      <w:pPr>
        <w:spacing w:after="0"/>
        <w:jc w:val="both"/>
        <w:rPr>
          <w:lang w:val="en-US"/>
        </w:rPr>
      </w:pPr>
    </w:p>
    <w:p w14:paraId="0A77893B" w14:textId="02F4129C" w:rsidR="00854F88" w:rsidRPr="00B114A5" w:rsidRDefault="00E34DC4" w:rsidP="0031313E">
      <w:pPr>
        <w:spacing w:after="0"/>
        <w:jc w:val="both"/>
        <w:rPr>
          <w:rFonts w:ascii="Arial" w:hAnsi="Arial" w:cs="Arial"/>
        </w:rPr>
      </w:pPr>
      <w:r w:rsidRPr="00B114A5">
        <w:rPr>
          <w:rFonts w:ascii="Arial" w:hAnsi="Arial" w:cs="Arial"/>
        </w:rPr>
        <w:t>Several</w:t>
      </w:r>
      <w:r w:rsidR="00854F88" w:rsidRPr="00B114A5">
        <w:rPr>
          <w:rFonts w:ascii="Arial" w:hAnsi="Arial" w:cs="Arial"/>
        </w:rPr>
        <w:t xml:space="preserve"> factors contribute to the fluctuation of this ratio</w:t>
      </w:r>
      <w:r w:rsidR="00603A08" w:rsidRPr="00B114A5">
        <w:rPr>
          <w:rFonts w:ascii="Arial" w:hAnsi="Arial" w:cs="Arial"/>
        </w:rPr>
        <w:t xml:space="preserve">. </w:t>
      </w:r>
      <w:r w:rsidR="00854F88" w:rsidRPr="00B114A5">
        <w:rPr>
          <w:rFonts w:ascii="Arial" w:hAnsi="Arial" w:cs="Arial"/>
        </w:rPr>
        <w:t xml:space="preserve">As the processes to receive </w:t>
      </w:r>
      <w:r w:rsidR="00B114A5">
        <w:rPr>
          <w:rFonts w:ascii="Arial" w:hAnsi="Arial" w:cs="Arial"/>
        </w:rPr>
        <w:t>funds</w:t>
      </w:r>
      <w:r w:rsidR="00854F88" w:rsidRPr="00B114A5">
        <w:rPr>
          <w:rFonts w:ascii="Arial" w:hAnsi="Arial" w:cs="Arial"/>
        </w:rPr>
        <w:t xml:space="preserve"> are onerous with significant periods of time being required to receive approval, the operating surplus ratio </w:t>
      </w:r>
      <w:r w:rsidR="00603A08" w:rsidRPr="00B114A5">
        <w:rPr>
          <w:rFonts w:ascii="Arial" w:hAnsi="Arial" w:cs="Arial"/>
        </w:rPr>
        <w:t>can be somewhat</w:t>
      </w:r>
      <w:r w:rsidR="00854F88" w:rsidRPr="00B114A5">
        <w:rPr>
          <w:rFonts w:ascii="Arial" w:hAnsi="Arial" w:cs="Arial"/>
        </w:rPr>
        <w:t xml:space="preserve"> manipulated given the </w:t>
      </w:r>
      <w:r w:rsidR="00603A08" w:rsidRPr="00B114A5">
        <w:rPr>
          <w:rFonts w:ascii="Arial" w:hAnsi="Arial" w:cs="Arial"/>
        </w:rPr>
        <w:t xml:space="preserve">timing of revenue and </w:t>
      </w:r>
      <w:r w:rsidR="00854F88" w:rsidRPr="00B114A5">
        <w:rPr>
          <w:rFonts w:ascii="Arial" w:hAnsi="Arial" w:cs="Arial"/>
        </w:rPr>
        <w:t xml:space="preserve">expenses </w:t>
      </w:r>
      <w:r w:rsidR="00B114A5">
        <w:rPr>
          <w:rFonts w:ascii="Arial" w:hAnsi="Arial" w:cs="Arial"/>
        </w:rPr>
        <w:t xml:space="preserve">and the recognition of revenue under the new AASB standards. </w:t>
      </w:r>
    </w:p>
    <w:p w14:paraId="1A36C1E7" w14:textId="77777777" w:rsidR="00AB5A25" w:rsidRPr="00B114A5" w:rsidRDefault="00AB5A25" w:rsidP="0031313E">
      <w:pPr>
        <w:spacing w:after="0"/>
        <w:jc w:val="both"/>
        <w:rPr>
          <w:rFonts w:ascii="Arial" w:hAnsi="Arial" w:cs="Arial"/>
        </w:rPr>
      </w:pPr>
    </w:p>
    <w:p w14:paraId="65B7C7AF" w14:textId="41A1FA08" w:rsidR="005576FD" w:rsidRDefault="00603A08" w:rsidP="0031313E">
      <w:pPr>
        <w:spacing w:after="0"/>
        <w:jc w:val="both"/>
        <w:rPr>
          <w:rFonts w:ascii="Arial" w:hAnsi="Arial" w:cs="Arial"/>
        </w:rPr>
      </w:pPr>
      <w:r w:rsidRPr="00B114A5">
        <w:rPr>
          <w:rFonts w:ascii="Arial" w:hAnsi="Arial" w:cs="Arial"/>
        </w:rPr>
        <w:t>The Shire has also considered within its Long</w:t>
      </w:r>
      <w:r w:rsidR="00E34DC4">
        <w:rPr>
          <w:rFonts w:ascii="Arial" w:hAnsi="Arial" w:cs="Arial"/>
        </w:rPr>
        <w:t xml:space="preserve"> </w:t>
      </w:r>
      <w:r w:rsidRPr="00B114A5">
        <w:rPr>
          <w:rFonts w:ascii="Arial" w:hAnsi="Arial" w:cs="Arial"/>
        </w:rPr>
        <w:t>Term Financial Plan (LTFP) the impact</w:t>
      </w:r>
      <w:r w:rsidR="00D6524D" w:rsidRPr="00B114A5">
        <w:rPr>
          <w:rFonts w:ascii="Arial" w:hAnsi="Arial" w:cs="Arial"/>
        </w:rPr>
        <w:t xml:space="preserve"> of</w:t>
      </w:r>
      <w:r w:rsidRPr="00B114A5">
        <w:rPr>
          <w:rFonts w:ascii="Arial" w:hAnsi="Arial" w:cs="Arial"/>
        </w:rPr>
        <w:t xml:space="preserve"> </w:t>
      </w:r>
      <w:r w:rsidR="005576FD" w:rsidRPr="00B114A5">
        <w:rPr>
          <w:rFonts w:ascii="Arial" w:hAnsi="Arial" w:cs="Arial"/>
        </w:rPr>
        <w:t xml:space="preserve">ongoing capital road funds such as Roads to Recovery (R2R) and Regional Road Group (RRG) – neither of which are included in the calculation of the operating surplus ratio. Depreciation expense, which is included </w:t>
      </w:r>
      <w:r w:rsidR="00BA6A36" w:rsidRPr="00B114A5">
        <w:rPr>
          <w:rFonts w:ascii="Arial" w:hAnsi="Arial" w:cs="Arial"/>
        </w:rPr>
        <w:t xml:space="preserve">within </w:t>
      </w:r>
      <w:r w:rsidR="005576FD" w:rsidRPr="00B114A5">
        <w:rPr>
          <w:rFonts w:ascii="Arial" w:hAnsi="Arial" w:cs="Arial"/>
        </w:rPr>
        <w:t>the calculation of the operating surplus ratio, is rarely funded in full by rural local governments such as the Shire of Leonora</w:t>
      </w:r>
      <w:r w:rsidR="00705B2D" w:rsidRPr="00B114A5">
        <w:rPr>
          <w:rFonts w:ascii="Arial" w:hAnsi="Arial" w:cs="Arial"/>
        </w:rPr>
        <w:t xml:space="preserve">, with grant funds such as the R2R and RRG contributing to asset renewals and compensating for operating losses. </w:t>
      </w:r>
      <w:r w:rsidR="008404B9" w:rsidRPr="00B114A5">
        <w:rPr>
          <w:rFonts w:ascii="Arial" w:hAnsi="Arial" w:cs="Arial"/>
        </w:rPr>
        <w:t xml:space="preserve">Depreciation will be closely monitored in </w:t>
      </w:r>
      <w:r w:rsidR="00B114A5">
        <w:rPr>
          <w:rFonts w:ascii="Arial" w:hAnsi="Arial" w:cs="Arial"/>
        </w:rPr>
        <w:t>the 2021/2022 financial year</w:t>
      </w:r>
      <w:r w:rsidR="008404B9" w:rsidRPr="00B114A5">
        <w:rPr>
          <w:rFonts w:ascii="Arial" w:hAnsi="Arial" w:cs="Arial"/>
        </w:rPr>
        <w:t>.</w:t>
      </w:r>
      <w:r w:rsidR="00854F88" w:rsidRPr="00B114A5">
        <w:rPr>
          <w:rFonts w:ascii="Arial" w:hAnsi="Arial" w:cs="Arial"/>
        </w:rPr>
        <w:t xml:space="preserve"> </w:t>
      </w:r>
    </w:p>
    <w:p w14:paraId="44506B4E" w14:textId="5C31620E" w:rsidR="00B114A5" w:rsidRDefault="00B114A5" w:rsidP="0031313E">
      <w:pPr>
        <w:spacing w:after="0"/>
        <w:jc w:val="both"/>
        <w:rPr>
          <w:rFonts w:ascii="Arial" w:hAnsi="Arial" w:cs="Arial"/>
        </w:rPr>
      </w:pPr>
    </w:p>
    <w:p w14:paraId="41767732" w14:textId="41B98B3E" w:rsidR="00603A08" w:rsidRPr="00B114A5" w:rsidRDefault="00603A08" w:rsidP="0031313E">
      <w:pPr>
        <w:pStyle w:val="Heading1"/>
        <w:jc w:val="both"/>
        <w:rPr>
          <w:rStyle w:val="Heading1Char"/>
          <w:rFonts w:ascii="Arial" w:hAnsi="Arial" w:cs="Arial"/>
          <w:b/>
          <w:bCs/>
          <w:sz w:val="24"/>
          <w:szCs w:val="24"/>
        </w:rPr>
      </w:pPr>
      <w:r w:rsidRPr="00B114A5">
        <w:rPr>
          <w:rFonts w:ascii="Arial" w:hAnsi="Arial" w:cs="Arial"/>
          <w:sz w:val="24"/>
          <w:szCs w:val="24"/>
        </w:rPr>
        <w:lastRenderedPageBreak/>
        <w:t>Act</w:t>
      </w:r>
      <w:r w:rsidRPr="00B114A5">
        <w:rPr>
          <w:rStyle w:val="Heading1Char"/>
          <w:rFonts w:ascii="Arial" w:hAnsi="Arial" w:cs="Arial"/>
          <w:b/>
          <w:bCs/>
          <w:sz w:val="24"/>
          <w:szCs w:val="24"/>
        </w:rPr>
        <w:t xml:space="preserve">ions Proposed to Address the Operating Surplus Ratio </w:t>
      </w:r>
    </w:p>
    <w:p w14:paraId="061F9894" w14:textId="77777777" w:rsidR="00AB5A25" w:rsidRPr="00AB5A25" w:rsidRDefault="00AB5A25" w:rsidP="0031313E">
      <w:pPr>
        <w:spacing w:after="0"/>
        <w:jc w:val="both"/>
        <w:rPr>
          <w:lang w:val="en-US"/>
        </w:rPr>
      </w:pPr>
    </w:p>
    <w:p w14:paraId="165855AB" w14:textId="0E3565B6" w:rsidR="005576FD" w:rsidRPr="00B114A5" w:rsidRDefault="00705B2D" w:rsidP="0031313E">
      <w:pPr>
        <w:spacing w:after="0"/>
        <w:jc w:val="both"/>
        <w:rPr>
          <w:rFonts w:ascii="Arial" w:hAnsi="Arial" w:cs="Arial"/>
        </w:rPr>
      </w:pPr>
      <w:r w:rsidRPr="00B114A5">
        <w:rPr>
          <w:rFonts w:ascii="Arial" w:hAnsi="Arial" w:cs="Arial"/>
        </w:rPr>
        <w:t xml:space="preserve">To ensure the operating surplus ratio would meet the </w:t>
      </w:r>
      <w:r w:rsidR="00CA4D0B" w:rsidRPr="00B114A5">
        <w:rPr>
          <w:rFonts w:ascii="Arial" w:hAnsi="Arial" w:cs="Arial"/>
        </w:rPr>
        <w:t>benchmark</w:t>
      </w:r>
      <w:r w:rsidRPr="00B114A5">
        <w:rPr>
          <w:rFonts w:ascii="Arial" w:hAnsi="Arial" w:cs="Arial"/>
        </w:rPr>
        <w:t xml:space="preserve"> set by the Department, the Shire could consider increasing rates, however this would effectively result in over rating the community when also considering the ongoing road grants received by the Shire. As a result, the Shire considers the </w:t>
      </w:r>
      <w:r w:rsidR="00891C46" w:rsidRPr="00B114A5">
        <w:rPr>
          <w:rFonts w:ascii="Arial" w:hAnsi="Arial" w:cs="Arial"/>
        </w:rPr>
        <w:t>benchmark for</w:t>
      </w:r>
      <w:r w:rsidRPr="00B114A5">
        <w:rPr>
          <w:rFonts w:ascii="Arial" w:hAnsi="Arial" w:cs="Arial"/>
        </w:rPr>
        <w:t xml:space="preserve"> the operating surplus ratio to be flawed</w:t>
      </w:r>
      <w:r w:rsidR="00891C46" w:rsidRPr="00B114A5">
        <w:rPr>
          <w:rFonts w:ascii="Arial" w:hAnsi="Arial" w:cs="Arial"/>
        </w:rPr>
        <w:t xml:space="preserve"> for a Shire receiving non-operating grants for the renewal of assets</w:t>
      </w:r>
      <w:r w:rsidR="00EA4109" w:rsidRPr="00B114A5">
        <w:rPr>
          <w:rFonts w:ascii="Arial" w:hAnsi="Arial" w:cs="Arial"/>
        </w:rPr>
        <w:t xml:space="preserve">, and it does not intend to take action to increase revenue above a level which will result in the community being overrated when considering expected and ongoing </w:t>
      </w:r>
      <w:r w:rsidR="00891C46" w:rsidRPr="00B114A5">
        <w:rPr>
          <w:rFonts w:ascii="Arial" w:hAnsi="Arial" w:cs="Arial"/>
        </w:rPr>
        <w:t>non-operating</w:t>
      </w:r>
      <w:r w:rsidR="00EA4109" w:rsidRPr="00B114A5">
        <w:rPr>
          <w:rFonts w:ascii="Arial" w:hAnsi="Arial" w:cs="Arial"/>
        </w:rPr>
        <w:t xml:space="preserve"> grants</w:t>
      </w:r>
      <w:r w:rsidR="00891C46" w:rsidRPr="00B114A5">
        <w:rPr>
          <w:rFonts w:ascii="Arial" w:hAnsi="Arial" w:cs="Arial"/>
        </w:rPr>
        <w:t xml:space="preserve"> for asset renewals</w:t>
      </w:r>
      <w:r w:rsidR="00EA4109" w:rsidRPr="00B114A5">
        <w:rPr>
          <w:rFonts w:ascii="Arial" w:hAnsi="Arial" w:cs="Arial"/>
        </w:rPr>
        <w:t>.</w:t>
      </w:r>
    </w:p>
    <w:p w14:paraId="318BBE3A" w14:textId="77777777" w:rsidR="00AB5A25" w:rsidRPr="00B114A5" w:rsidRDefault="00AB5A25" w:rsidP="0031313E">
      <w:pPr>
        <w:spacing w:after="0"/>
        <w:jc w:val="both"/>
        <w:rPr>
          <w:rFonts w:ascii="Arial" w:hAnsi="Arial" w:cs="Arial"/>
        </w:rPr>
      </w:pPr>
    </w:p>
    <w:p w14:paraId="19823482" w14:textId="465890EB" w:rsidR="00603A08" w:rsidRPr="00B114A5" w:rsidRDefault="00CA4D0B" w:rsidP="0031313E">
      <w:pPr>
        <w:spacing w:after="0"/>
        <w:jc w:val="both"/>
        <w:rPr>
          <w:rFonts w:ascii="Arial" w:hAnsi="Arial" w:cs="Arial"/>
        </w:rPr>
      </w:pPr>
      <w:r w:rsidRPr="00B114A5">
        <w:rPr>
          <w:rFonts w:ascii="Arial" w:hAnsi="Arial" w:cs="Arial"/>
        </w:rPr>
        <w:t xml:space="preserve">The operating surplus ratio </w:t>
      </w:r>
      <w:r w:rsidR="00EA4109" w:rsidRPr="00B114A5">
        <w:rPr>
          <w:rFonts w:ascii="Arial" w:hAnsi="Arial" w:cs="Arial"/>
        </w:rPr>
        <w:t xml:space="preserve">and the financial performance of the Shire of Leonora </w:t>
      </w:r>
      <w:r w:rsidRPr="00B114A5">
        <w:rPr>
          <w:rFonts w:ascii="Arial" w:hAnsi="Arial" w:cs="Arial"/>
        </w:rPr>
        <w:t xml:space="preserve">will </w:t>
      </w:r>
      <w:r w:rsidR="00EA4109" w:rsidRPr="00B114A5">
        <w:rPr>
          <w:rFonts w:ascii="Arial" w:hAnsi="Arial" w:cs="Arial"/>
        </w:rPr>
        <w:t xml:space="preserve">continue to </w:t>
      </w:r>
      <w:r w:rsidRPr="00B114A5">
        <w:rPr>
          <w:rFonts w:ascii="Arial" w:hAnsi="Arial" w:cs="Arial"/>
        </w:rPr>
        <w:t xml:space="preserve">be </w:t>
      </w:r>
      <w:r w:rsidR="009A5829" w:rsidRPr="00B114A5">
        <w:rPr>
          <w:rFonts w:ascii="Arial" w:hAnsi="Arial" w:cs="Arial"/>
        </w:rPr>
        <w:t>reviewed</w:t>
      </w:r>
      <w:r w:rsidRPr="00B114A5">
        <w:rPr>
          <w:rFonts w:ascii="Arial" w:hAnsi="Arial" w:cs="Arial"/>
        </w:rPr>
        <w:t xml:space="preserve"> </w:t>
      </w:r>
      <w:r w:rsidR="00EA4109" w:rsidRPr="00B114A5">
        <w:rPr>
          <w:rFonts w:ascii="Arial" w:hAnsi="Arial" w:cs="Arial"/>
        </w:rPr>
        <w:t>through</w:t>
      </w:r>
      <w:r w:rsidRPr="00B114A5">
        <w:rPr>
          <w:rFonts w:ascii="Arial" w:hAnsi="Arial" w:cs="Arial"/>
        </w:rPr>
        <w:t xml:space="preserve"> ongoing monitoring of depreciation </w:t>
      </w:r>
      <w:r w:rsidR="00EA4109" w:rsidRPr="00B114A5">
        <w:rPr>
          <w:rFonts w:ascii="Arial" w:hAnsi="Arial" w:cs="Arial"/>
        </w:rPr>
        <w:t>expense and financial reports</w:t>
      </w:r>
      <w:r w:rsidR="008637E6" w:rsidRPr="00B114A5">
        <w:rPr>
          <w:rFonts w:ascii="Arial" w:hAnsi="Arial" w:cs="Arial"/>
        </w:rPr>
        <w:t xml:space="preserve"> which are reported to Council</w:t>
      </w:r>
      <w:r w:rsidR="00EA4109" w:rsidRPr="00B114A5">
        <w:rPr>
          <w:rFonts w:ascii="Arial" w:hAnsi="Arial" w:cs="Arial"/>
        </w:rPr>
        <w:t>, including required budget reviews and monthly statements of financial activity</w:t>
      </w:r>
      <w:r w:rsidR="008637E6" w:rsidRPr="00B114A5">
        <w:rPr>
          <w:rFonts w:ascii="Arial" w:hAnsi="Arial" w:cs="Arial"/>
        </w:rPr>
        <w:t>.</w:t>
      </w:r>
      <w:r w:rsidR="008404B9" w:rsidRPr="00B114A5">
        <w:rPr>
          <w:rFonts w:ascii="Arial" w:hAnsi="Arial" w:cs="Arial"/>
        </w:rPr>
        <w:t xml:space="preserve"> Close attention will be paid to revaluations that may have a negative impact on the </w:t>
      </w:r>
      <w:r w:rsidR="00B114A5" w:rsidRPr="00B114A5">
        <w:rPr>
          <w:rFonts w:ascii="Arial" w:hAnsi="Arial" w:cs="Arial"/>
        </w:rPr>
        <w:t>ratio in the 2021/22 Financial Year</w:t>
      </w:r>
      <w:r w:rsidR="008404B9" w:rsidRPr="00B114A5">
        <w:rPr>
          <w:rFonts w:ascii="Arial" w:hAnsi="Arial" w:cs="Arial"/>
        </w:rPr>
        <w:t>.</w:t>
      </w:r>
    </w:p>
    <w:p w14:paraId="74E81592" w14:textId="77777777" w:rsidR="00AB5A25" w:rsidRPr="00B114A5" w:rsidRDefault="00AB5A25" w:rsidP="0031313E">
      <w:pPr>
        <w:spacing w:after="0"/>
        <w:jc w:val="both"/>
        <w:rPr>
          <w:rFonts w:ascii="Arial" w:hAnsi="Arial" w:cs="Arial"/>
        </w:rPr>
      </w:pPr>
    </w:p>
    <w:p w14:paraId="23C33444" w14:textId="069065B3" w:rsidR="008404B9" w:rsidRPr="00B114A5" w:rsidRDefault="008404B9" w:rsidP="0031313E">
      <w:pPr>
        <w:spacing w:after="0"/>
        <w:jc w:val="both"/>
        <w:rPr>
          <w:rFonts w:ascii="Arial" w:hAnsi="Arial" w:cs="Arial"/>
        </w:rPr>
      </w:pPr>
      <w:r w:rsidRPr="00B114A5">
        <w:rPr>
          <w:rFonts w:ascii="Arial" w:hAnsi="Arial" w:cs="Arial"/>
        </w:rPr>
        <w:t xml:space="preserve">The Council will continue to expand its operations in order to </w:t>
      </w:r>
      <w:r w:rsidR="003A43F1" w:rsidRPr="00B114A5">
        <w:rPr>
          <w:rFonts w:ascii="Arial" w:hAnsi="Arial" w:cs="Arial"/>
        </w:rPr>
        <w:t>find</w:t>
      </w:r>
      <w:r w:rsidRPr="00B114A5">
        <w:rPr>
          <w:rFonts w:ascii="Arial" w:hAnsi="Arial" w:cs="Arial"/>
        </w:rPr>
        <w:t xml:space="preserve"> other alternative revenue sources in line with the Shire of Leonora’s Strategic Community Plan 2017 – 2027.</w:t>
      </w:r>
    </w:p>
    <w:p w14:paraId="6C9A279E" w14:textId="77777777" w:rsidR="00AB5A25" w:rsidRPr="00863647" w:rsidRDefault="00AB5A25" w:rsidP="0031313E">
      <w:pPr>
        <w:spacing w:after="0"/>
        <w:jc w:val="both"/>
        <w:rPr>
          <w:rFonts w:ascii="Times New Roman" w:hAnsi="Times New Roman" w:cs="Times New Roman"/>
        </w:rPr>
      </w:pPr>
    </w:p>
    <w:p w14:paraId="2F032A0C" w14:textId="70EEBCF3" w:rsidR="00AE5658" w:rsidRPr="00B114A5" w:rsidRDefault="00AE5658" w:rsidP="0031313E">
      <w:pPr>
        <w:pStyle w:val="Heading1"/>
        <w:jc w:val="both"/>
        <w:rPr>
          <w:rFonts w:ascii="Arial" w:hAnsi="Arial" w:cs="Arial"/>
          <w:sz w:val="24"/>
          <w:szCs w:val="24"/>
        </w:rPr>
      </w:pPr>
      <w:r w:rsidRPr="00B114A5">
        <w:rPr>
          <w:rFonts w:ascii="Arial" w:hAnsi="Arial" w:cs="Arial"/>
          <w:sz w:val="24"/>
          <w:szCs w:val="24"/>
        </w:rPr>
        <w:t>Disclaimer</w:t>
      </w:r>
    </w:p>
    <w:p w14:paraId="11D3AD7E" w14:textId="77777777" w:rsidR="00AB5A25" w:rsidRPr="00B114A5" w:rsidRDefault="00AB5A25" w:rsidP="0031313E">
      <w:pPr>
        <w:spacing w:after="0"/>
        <w:jc w:val="both"/>
        <w:rPr>
          <w:rFonts w:ascii="Arial" w:hAnsi="Arial" w:cs="Arial"/>
          <w:lang w:val="en-US"/>
        </w:rPr>
      </w:pPr>
    </w:p>
    <w:p w14:paraId="2770E281" w14:textId="00B36DF4" w:rsidR="00AE5658" w:rsidRPr="00B114A5" w:rsidRDefault="00AE5658" w:rsidP="0031313E">
      <w:pPr>
        <w:spacing w:after="0"/>
        <w:jc w:val="both"/>
        <w:rPr>
          <w:rFonts w:ascii="Arial" w:hAnsi="Arial" w:cs="Arial"/>
        </w:rPr>
      </w:pPr>
      <w:r w:rsidRPr="00B114A5">
        <w:rPr>
          <w:rFonts w:ascii="Arial" w:hAnsi="Arial" w:cs="Arial"/>
        </w:rPr>
        <w:t xml:space="preserve">This </w:t>
      </w:r>
      <w:r w:rsidR="00891C46" w:rsidRPr="00B114A5">
        <w:rPr>
          <w:rFonts w:ascii="Arial" w:hAnsi="Arial" w:cs="Arial"/>
        </w:rPr>
        <w:t>Report</w:t>
      </w:r>
      <w:r w:rsidRPr="00B114A5">
        <w:rPr>
          <w:rFonts w:ascii="Arial" w:hAnsi="Arial" w:cs="Arial"/>
        </w:rPr>
        <w:t xml:space="preserve"> has been prepared for the exclusive use by the </w:t>
      </w:r>
      <w:sdt>
        <w:sdtPr>
          <w:rPr>
            <w:rFonts w:ascii="Arial" w:hAnsi="Arial" w:cs="Arial"/>
          </w:rPr>
          <w:alias w:val="Company"/>
          <w:tag w:val=""/>
          <w:id w:val="-563492479"/>
          <w:placeholder>
            <w:docPart w:val="B36970A62C914C798EBF2E3DD7C964AC"/>
          </w:placeholder>
          <w:dataBinding w:prefixMappings="xmlns:ns0='http://schemas.openxmlformats.org/officeDocument/2006/extended-properties' " w:xpath="/ns0:Properties[1]/ns0:Company[1]" w:storeItemID="{6668398D-A668-4E3E-A5EB-62B293D839F1}"/>
          <w:text/>
        </w:sdtPr>
        <w:sdtEndPr/>
        <w:sdtContent>
          <w:r w:rsidRPr="00B114A5">
            <w:rPr>
              <w:rFonts w:ascii="Arial" w:hAnsi="Arial" w:cs="Arial"/>
            </w:rPr>
            <w:t>Shire of Leonora</w:t>
          </w:r>
        </w:sdtContent>
      </w:sdt>
      <w:r w:rsidRPr="00B114A5">
        <w:rPr>
          <w:rFonts w:ascii="Arial" w:hAnsi="Arial" w:cs="Arial"/>
        </w:rPr>
        <w:t xml:space="preserve">. </w:t>
      </w:r>
    </w:p>
    <w:p w14:paraId="7E8DDF70" w14:textId="77777777" w:rsidR="00AB5A25" w:rsidRPr="00B114A5" w:rsidRDefault="00AB5A25" w:rsidP="0031313E">
      <w:pPr>
        <w:spacing w:after="0"/>
        <w:jc w:val="both"/>
        <w:rPr>
          <w:rFonts w:ascii="Arial" w:hAnsi="Arial" w:cs="Arial"/>
        </w:rPr>
      </w:pPr>
    </w:p>
    <w:p w14:paraId="30AE4807" w14:textId="33673F6D" w:rsidR="00AE5658" w:rsidRPr="00B114A5" w:rsidRDefault="00AE5658" w:rsidP="0031313E">
      <w:pPr>
        <w:spacing w:after="0"/>
        <w:jc w:val="both"/>
        <w:rPr>
          <w:rFonts w:ascii="Arial" w:hAnsi="Arial" w:cs="Arial"/>
        </w:rPr>
      </w:pPr>
      <w:r w:rsidRPr="00B114A5">
        <w:rPr>
          <w:rFonts w:ascii="Arial" w:hAnsi="Arial" w:cs="Arial"/>
        </w:rPr>
        <w:t xml:space="preserve">This </w:t>
      </w:r>
      <w:r w:rsidR="00891C46" w:rsidRPr="00B114A5">
        <w:rPr>
          <w:rFonts w:ascii="Arial" w:hAnsi="Arial" w:cs="Arial"/>
        </w:rPr>
        <w:t>report</w:t>
      </w:r>
      <w:r w:rsidRPr="00B114A5">
        <w:rPr>
          <w:rFonts w:ascii="Arial" w:hAnsi="Arial" w:cs="Arial"/>
        </w:rPr>
        <w:t xml:space="preserve"> contains quantitative and qualitative statements, including projections, estimates, opinions and forecasts concerning the anticipated future performance of the </w:t>
      </w:r>
      <w:sdt>
        <w:sdtPr>
          <w:rPr>
            <w:rFonts w:ascii="Arial" w:hAnsi="Arial" w:cs="Arial"/>
          </w:rPr>
          <w:alias w:val="Company"/>
          <w:tag w:val=""/>
          <w:id w:val="-1840540052"/>
          <w:placeholder>
            <w:docPart w:val="F0EC44C1592741BEAD683E04C46B88DD"/>
          </w:placeholder>
          <w:dataBinding w:prefixMappings="xmlns:ns0='http://schemas.openxmlformats.org/officeDocument/2006/extended-properties' " w:xpath="/ns0:Properties[1]/ns0:Company[1]" w:storeItemID="{6668398D-A668-4E3E-A5EB-62B293D839F1}"/>
          <w:text/>
        </w:sdtPr>
        <w:sdtEndPr/>
        <w:sdtContent>
          <w:r w:rsidRPr="00B114A5">
            <w:rPr>
              <w:rFonts w:ascii="Arial" w:hAnsi="Arial" w:cs="Arial"/>
            </w:rPr>
            <w:t>Shire of Leonora</w:t>
          </w:r>
        </w:sdtContent>
      </w:sdt>
      <w:r w:rsidRPr="00B114A5">
        <w:rPr>
          <w:rFonts w:ascii="Arial" w:hAnsi="Arial" w:cs="Arial"/>
        </w:rPr>
        <w:t xml:space="preserve">, based on a large number of assumptions, and will be, subject to significant uncertainties and contingencies many, if not all, of which are outside the control of the </w:t>
      </w:r>
      <w:sdt>
        <w:sdtPr>
          <w:rPr>
            <w:rFonts w:ascii="Arial" w:hAnsi="Arial" w:cs="Arial"/>
          </w:rPr>
          <w:alias w:val="Company"/>
          <w:tag w:val=""/>
          <w:id w:val="1061136556"/>
          <w:placeholder>
            <w:docPart w:val="7BDB4215492545D3B85B09450238632C"/>
          </w:placeholder>
          <w:dataBinding w:prefixMappings="xmlns:ns0='http://schemas.openxmlformats.org/officeDocument/2006/extended-properties' " w:xpath="/ns0:Properties[1]/ns0:Company[1]" w:storeItemID="{6668398D-A668-4E3E-A5EB-62B293D839F1}"/>
          <w:text/>
        </w:sdtPr>
        <w:sdtEndPr/>
        <w:sdtContent>
          <w:r w:rsidRPr="00B114A5">
            <w:rPr>
              <w:rFonts w:ascii="Arial" w:hAnsi="Arial" w:cs="Arial"/>
            </w:rPr>
            <w:t>Shire of Leonora</w:t>
          </w:r>
        </w:sdtContent>
      </w:sdt>
      <w:r w:rsidRPr="00B114A5">
        <w:rPr>
          <w:rFonts w:ascii="Arial" w:hAnsi="Arial" w:cs="Arial"/>
        </w:rPr>
        <w:t>.</w:t>
      </w:r>
    </w:p>
    <w:p w14:paraId="1AF917AF" w14:textId="77777777" w:rsidR="00AB5A25" w:rsidRPr="00B114A5" w:rsidRDefault="00AB5A25" w:rsidP="0031313E">
      <w:pPr>
        <w:spacing w:after="0"/>
        <w:jc w:val="both"/>
        <w:rPr>
          <w:rFonts w:ascii="Arial" w:hAnsi="Arial" w:cs="Arial"/>
        </w:rPr>
      </w:pPr>
    </w:p>
    <w:p w14:paraId="290E143A" w14:textId="535D04C1" w:rsidR="00AE5658" w:rsidRPr="00B114A5" w:rsidRDefault="00AE5658" w:rsidP="0031313E">
      <w:pPr>
        <w:spacing w:after="0"/>
        <w:jc w:val="both"/>
        <w:rPr>
          <w:rFonts w:ascii="Arial" w:hAnsi="Arial" w:cs="Arial"/>
        </w:rPr>
      </w:pPr>
      <w:r w:rsidRPr="00B114A5">
        <w:rPr>
          <w:rFonts w:ascii="Arial" w:hAnsi="Arial" w:cs="Arial"/>
        </w:rPr>
        <w:t xml:space="preserve">This </w:t>
      </w:r>
      <w:r w:rsidR="00891C46" w:rsidRPr="00B114A5">
        <w:rPr>
          <w:rFonts w:ascii="Arial" w:hAnsi="Arial" w:cs="Arial"/>
        </w:rPr>
        <w:t>report</w:t>
      </w:r>
      <w:r w:rsidRPr="00B114A5">
        <w:rPr>
          <w:rFonts w:ascii="Arial" w:hAnsi="Arial" w:cs="Arial"/>
        </w:rPr>
        <w:t xml:space="preserve"> is supplied in good faith for public information purposes and the Shire accepts no responsibility for any loss occasioned by any person acting or refraining from action as a result of reliance on </w:t>
      </w:r>
      <w:r w:rsidR="00B73A42">
        <w:rPr>
          <w:rFonts w:ascii="Arial" w:hAnsi="Arial" w:cs="Arial"/>
        </w:rPr>
        <w:t>this Report</w:t>
      </w:r>
      <w:r w:rsidRPr="00B114A5">
        <w:rPr>
          <w:rFonts w:ascii="Arial" w:hAnsi="Arial" w:cs="Arial"/>
        </w:rPr>
        <w:t>.</w:t>
      </w:r>
    </w:p>
    <w:p w14:paraId="058A33C8" w14:textId="77777777" w:rsidR="00AB5A25" w:rsidRPr="00863647" w:rsidRDefault="00AB5A25" w:rsidP="0031313E">
      <w:pPr>
        <w:spacing w:after="0"/>
        <w:jc w:val="both"/>
        <w:rPr>
          <w:rFonts w:ascii="Times New Roman" w:hAnsi="Times New Roman" w:cs="Times New Roman"/>
        </w:rPr>
      </w:pPr>
    </w:p>
    <w:p w14:paraId="2B18F730" w14:textId="21F1299E" w:rsidR="00AE5658" w:rsidRPr="00B114A5" w:rsidRDefault="00AE5658" w:rsidP="00AB5A25">
      <w:pPr>
        <w:pStyle w:val="Heading1"/>
        <w:rPr>
          <w:rFonts w:ascii="Arial" w:hAnsi="Arial" w:cs="Arial"/>
          <w:sz w:val="22"/>
          <w:szCs w:val="22"/>
        </w:rPr>
      </w:pPr>
      <w:r w:rsidRPr="00B114A5">
        <w:rPr>
          <w:rFonts w:ascii="Arial" w:hAnsi="Arial" w:cs="Arial"/>
          <w:sz w:val="22"/>
          <w:szCs w:val="22"/>
        </w:rPr>
        <w:t>Document Management</w:t>
      </w:r>
    </w:p>
    <w:p w14:paraId="3BD66173" w14:textId="77777777" w:rsidR="00AB5A25" w:rsidRPr="00AB5A25" w:rsidRDefault="00AB5A25" w:rsidP="00AB5A25">
      <w:pPr>
        <w:spacing w:after="0"/>
        <w:rPr>
          <w:lang w:val="en-US"/>
        </w:rPr>
      </w:pPr>
    </w:p>
    <w:tbl>
      <w:tblPr>
        <w:tblStyle w:val="TableGrid1"/>
        <w:tblW w:w="2582" w:type="pc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4E9F4"/>
        <w:tblCellMar>
          <w:top w:w="28" w:type="dxa"/>
          <w:left w:w="28" w:type="dxa"/>
          <w:bottom w:w="28" w:type="dxa"/>
          <w:right w:w="28" w:type="dxa"/>
        </w:tblCellMar>
        <w:tblLook w:val="04A0" w:firstRow="1" w:lastRow="0" w:firstColumn="1" w:lastColumn="0" w:noHBand="0" w:noVBand="1"/>
      </w:tblPr>
      <w:tblGrid>
        <w:gridCol w:w="1873"/>
        <w:gridCol w:w="2788"/>
      </w:tblGrid>
      <w:tr w:rsidR="00AE5658" w:rsidRPr="00B73A42" w14:paraId="25E11DA3" w14:textId="77777777" w:rsidTr="0065298C">
        <w:trPr>
          <w:trHeight w:val="283"/>
        </w:trPr>
        <w:tc>
          <w:tcPr>
            <w:tcW w:w="2009" w:type="pct"/>
            <w:shd w:val="clear" w:color="auto" w:fill="auto"/>
            <w:tcMar>
              <w:left w:w="28" w:type="dxa"/>
              <w:right w:w="28" w:type="dxa"/>
            </w:tcMar>
          </w:tcPr>
          <w:p w14:paraId="77CFAC46" w14:textId="77777777" w:rsidR="00AE5658" w:rsidRPr="00B73A42" w:rsidRDefault="00AE5658" w:rsidP="00B73A42">
            <w:pPr>
              <w:rPr>
                <w:rFonts w:ascii="Arial" w:hAnsi="Arial" w:cs="Arial"/>
                <w:sz w:val="16"/>
                <w:szCs w:val="16"/>
              </w:rPr>
            </w:pPr>
            <w:r w:rsidRPr="00B73A42">
              <w:rPr>
                <w:rFonts w:ascii="Arial" w:hAnsi="Arial" w:cs="Arial"/>
                <w:sz w:val="16"/>
                <w:szCs w:val="16"/>
              </w:rPr>
              <w:t xml:space="preserve">Version </w:t>
            </w:r>
          </w:p>
        </w:tc>
        <w:tc>
          <w:tcPr>
            <w:tcW w:w="2991" w:type="pct"/>
            <w:shd w:val="clear" w:color="auto" w:fill="auto"/>
            <w:tcMar>
              <w:left w:w="28" w:type="dxa"/>
              <w:right w:w="28" w:type="dxa"/>
            </w:tcMar>
          </w:tcPr>
          <w:p w14:paraId="7510F057" w14:textId="56C02661" w:rsidR="00AE5658" w:rsidRPr="00B73A42" w:rsidRDefault="00B114A5" w:rsidP="00B73A42">
            <w:pPr>
              <w:rPr>
                <w:rFonts w:ascii="Arial" w:hAnsi="Arial" w:cs="Arial"/>
                <w:sz w:val="16"/>
                <w:szCs w:val="16"/>
              </w:rPr>
            </w:pPr>
            <w:r w:rsidRPr="00B73A42">
              <w:rPr>
                <w:rFonts w:ascii="Arial" w:hAnsi="Arial" w:cs="Arial"/>
                <w:sz w:val="16"/>
                <w:szCs w:val="16"/>
              </w:rPr>
              <w:t>2019/20</w:t>
            </w:r>
            <w:r w:rsidR="008404B9" w:rsidRPr="00B73A42">
              <w:rPr>
                <w:rFonts w:ascii="Arial" w:hAnsi="Arial" w:cs="Arial"/>
                <w:sz w:val="16"/>
                <w:szCs w:val="16"/>
              </w:rPr>
              <w:t xml:space="preserve"> Adverse Trend</w:t>
            </w:r>
          </w:p>
        </w:tc>
      </w:tr>
      <w:tr w:rsidR="00AE5658" w:rsidRPr="00B73A42" w14:paraId="788AB24A" w14:textId="77777777" w:rsidTr="0065298C">
        <w:trPr>
          <w:trHeight w:val="283"/>
        </w:trPr>
        <w:tc>
          <w:tcPr>
            <w:tcW w:w="2009" w:type="pct"/>
            <w:shd w:val="clear" w:color="auto" w:fill="auto"/>
            <w:tcMar>
              <w:left w:w="28" w:type="dxa"/>
              <w:right w:w="28" w:type="dxa"/>
            </w:tcMar>
          </w:tcPr>
          <w:p w14:paraId="483ABC93" w14:textId="77777777" w:rsidR="00AE5658" w:rsidRPr="00B73A42" w:rsidRDefault="00AE5658" w:rsidP="00B73A42">
            <w:pPr>
              <w:rPr>
                <w:rFonts w:ascii="Arial" w:hAnsi="Arial" w:cs="Arial"/>
                <w:sz w:val="16"/>
                <w:szCs w:val="16"/>
              </w:rPr>
            </w:pPr>
            <w:r w:rsidRPr="00B73A42">
              <w:rPr>
                <w:rFonts w:ascii="Arial" w:hAnsi="Arial" w:cs="Arial"/>
                <w:sz w:val="16"/>
                <w:szCs w:val="16"/>
              </w:rPr>
              <w:t>Status</w:t>
            </w:r>
          </w:p>
        </w:tc>
        <w:tc>
          <w:tcPr>
            <w:tcW w:w="2991" w:type="pct"/>
            <w:shd w:val="clear" w:color="auto" w:fill="auto"/>
            <w:tcMar>
              <w:left w:w="28" w:type="dxa"/>
              <w:right w:w="28" w:type="dxa"/>
            </w:tcMar>
          </w:tcPr>
          <w:p w14:paraId="10611C63" w14:textId="66F18025" w:rsidR="00AE5658" w:rsidRPr="00B73A42" w:rsidRDefault="008404B9" w:rsidP="00B73A42">
            <w:pPr>
              <w:rPr>
                <w:rFonts w:ascii="Arial" w:hAnsi="Arial" w:cs="Arial"/>
                <w:sz w:val="16"/>
                <w:szCs w:val="16"/>
              </w:rPr>
            </w:pPr>
            <w:r w:rsidRPr="00B73A42">
              <w:rPr>
                <w:rFonts w:ascii="Arial" w:hAnsi="Arial" w:cs="Arial"/>
                <w:sz w:val="16"/>
                <w:szCs w:val="16"/>
              </w:rPr>
              <w:t>Final</w:t>
            </w:r>
          </w:p>
        </w:tc>
      </w:tr>
      <w:tr w:rsidR="00AE5658" w:rsidRPr="00B73A42" w14:paraId="5C40E65D" w14:textId="77777777" w:rsidTr="0065298C">
        <w:trPr>
          <w:trHeight w:val="283"/>
        </w:trPr>
        <w:tc>
          <w:tcPr>
            <w:tcW w:w="2009" w:type="pct"/>
            <w:shd w:val="clear" w:color="auto" w:fill="auto"/>
            <w:tcMar>
              <w:left w:w="28" w:type="dxa"/>
              <w:right w:w="28" w:type="dxa"/>
            </w:tcMar>
          </w:tcPr>
          <w:p w14:paraId="7BE6C727" w14:textId="77777777" w:rsidR="00AE5658" w:rsidRPr="00B73A42" w:rsidRDefault="00AE5658" w:rsidP="00B73A42">
            <w:pPr>
              <w:rPr>
                <w:rFonts w:ascii="Arial" w:hAnsi="Arial" w:cs="Arial"/>
                <w:sz w:val="16"/>
                <w:szCs w:val="16"/>
              </w:rPr>
            </w:pPr>
            <w:r w:rsidRPr="00B73A42">
              <w:rPr>
                <w:rFonts w:ascii="Arial" w:hAnsi="Arial" w:cs="Arial"/>
                <w:sz w:val="16"/>
                <w:szCs w:val="16"/>
              </w:rPr>
              <w:t>Date of Adoption</w:t>
            </w:r>
          </w:p>
        </w:tc>
        <w:tc>
          <w:tcPr>
            <w:tcW w:w="2991" w:type="pct"/>
            <w:shd w:val="clear" w:color="auto" w:fill="auto"/>
            <w:tcMar>
              <w:left w:w="28" w:type="dxa"/>
              <w:right w:w="28" w:type="dxa"/>
            </w:tcMar>
          </w:tcPr>
          <w:p w14:paraId="5F731030" w14:textId="279737E0" w:rsidR="00AE5658" w:rsidRPr="00B73A42" w:rsidRDefault="00B114A5" w:rsidP="00B73A42">
            <w:pPr>
              <w:rPr>
                <w:rFonts w:ascii="Arial" w:hAnsi="Arial" w:cs="Arial"/>
                <w:sz w:val="16"/>
                <w:szCs w:val="16"/>
              </w:rPr>
            </w:pPr>
            <w:r w:rsidRPr="00B73A42">
              <w:rPr>
                <w:rFonts w:ascii="Arial" w:hAnsi="Arial" w:cs="Arial"/>
                <w:sz w:val="16"/>
                <w:szCs w:val="16"/>
              </w:rPr>
              <w:t>20th April</w:t>
            </w:r>
            <w:r w:rsidR="00AE5658" w:rsidRPr="00B73A42">
              <w:rPr>
                <w:rFonts w:ascii="Arial" w:hAnsi="Arial" w:cs="Arial"/>
                <w:sz w:val="16"/>
                <w:szCs w:val="16"/>
              </w:rPr>
              <w:t xml:space="preserve"> 20</w:t>
            </w:r>
            <w:r w:rsidR="008404B9" w:rsidRPr="00B73A42">
              <w:rPr>
                <w:rFonts w:ascii="Arial" w:hAnsi="Arial" w:cs="Arial"/>
                <w:sz w:val="16"/>
                <w:szCs w:val="16"/>
              </w:rPr>
              <w:t>2</w:t>
            </w:r>
            <w:r w:rsidRPr="00B73A42">
              <w:rPr>
                <w:rFonts w:ascii="Arial" w:hAnsi="Arial" w:cs="Arial"/>
                <w:sz w:val="16"/>
                <w:szCs w:val="16"/>
              </w:rPr>
              <w:t>1</w:t>
            </w:r>
          </w:p>
        </w:tc>
      </w:tr>
    </w:tbl>
    <w:p w14:paraId="5D2457F7" w14:textId="77777777" w:rsidR="00AE5658" w:rsidRPr="00863647" w:rsidRDefault="00AE5658" w:rsidP="00AB5A25">
      <w:pPr>
        <w:spacing w:after="0"/>
        <w:rPr>
          <w:rFonts w:ascii="Times New Roman" w:hAnsi="Times New Roman" w:cs="Times New Roman"/>
          <w:lang w:val="en-US"/>
        </w:rPr>
      </w:pPr>
    </w:p>
    <w:sectPr w:rsidR="00AE5658" w:rsidRPr="00863647" w:rsidSect="00B73A42">
      <w:footerReference w:type="default" r:id="rId7"/>
      <w:headerReference w:type="first" r:id="rId8"/>
      <w:pgSz w:w="11906" w:h="16838"/>
      <w:pgMar w:top="1701" w:right="1440" w:bottom="1440" w:left="1440"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1885E" w14:textId="77777777" w:rsidR="00B114A5" w:rsidRDefault="00B114A5" w:rsidP="00B114A5">
      <w:pPr>
        <w:spacing w:after="0" w:line="240" w:lineRule="auto"/>
      </w:pPr>
      <w:r>
        <w:separator/>
      </w:r>
    </w:p>
  </w:endnote>
  <w:endnote w:type="continuationSeparator" w:id="0">
    <w:p w14:paraId="5982BC0F" w14:textId="77777777" w:rsidR="00B114A5" w:rsidRDefault="00B114A5" w:rsidP="00B11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0214494"/>
      <w:docPartObj>
        <w:docPartGallery w:val="Page Numbers (Bottom of Page)"/>
        <w:docPartUnique/>
      </w:docPartObj>
    </w:sdtPr>
    <w:sdtEndPr>
      <w:rPr>
        <w:noProof/>
      </w:rPr>
    </w:sdtEndPr>
    <w:sdtContent>
      <w:p w14:paraId="506F873A" w14:textId="5F5B538B" w:rsidR="00B114A5" w:rsidRDefault="00B114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05CE93" w14:textId="77777777" w:rsidR="00B114A5" w:rsidRDefault="00B11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70041" w14:textId="77777777" w:rsidR="00B114A5" w:rsidRDefault="00B114A5" w:rsidP="00B114A5">
      <w:pPr>
        <w:spacing w:after="0" w:line="240" w:lineRule="auto"/>
      </w:pPr>
      <w:r>
        <w:separator/>
      </w:r>
    </w:p>
  </w:footnote>
  <w:footnote w:type="continuationSeparator" w:id="0">
    <w:p w14:paraId="34B6E0F1" w14:textId="77777777" w:rsidR="00B114A5" w:rsidRDefault="00B114A5" w:rsidP="00B11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CA1A7" w14:textId="19738297" w:rsidR="00B73A42" w:rsidRDefault="00B73A42" w:rsidP="00B73A42">
    <w:pPr>
      <w:pStyle w:val="Header"/>
      <w:jc w:val="center"/>
    </w:pPr>
    <w:r w:rsidRPr="00863647">
      <w:rPr>
        <w:rFonts w:ascii="Times New Roman" w:hAnsi="Times New Roman" w:cs="Times New Roman"/>
        <w:noProof/>
        <w:lang w:val="en-US"/>
      </w:rPr>
      <w:drawing>
        <wp:inline distT="0" distB="0" distL="0" distR="0" wp14:anchorId="686706FC" wp14:editId="3BB86026">
          <wp:extent cx="1281430" cy="1315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3809" cy="1338698"/>
                  </a:xfrm>
                  <a:prstGeom prst="rect">
                    <a:avLst/>
                  </a:prstGeom>
                  <a:noFill/>
                </pic:spPr>
              </pic:pic>
            </a:graphicData>
          </a:graphic>
        </wp:inline>
      </w:drawing>
    </w:r>
  </w:p>
  <w:p w14:paraId="2954A05B" w14:textId="77777777" w:rsidR="00B73A42" w:rsidRDefault="00B73A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09"/>
    <w:rsid w:val="00164709"/>
    <w:rsid w:val="00196C97"/>
    <w:rsid w:val="0031313E"/>
    <w:rsid w:val="003A43F1"/>
    <w:rsid w:val="005576FD"/>
    <w:rsid w:val="005E0381"/>
    <w:rsid w:val="00602452"/>
    <w:rsid w:val="00603A08"/>
    <w:rsid w:val="006664DB"/>
    <w:rsid w:val="006C019F"/>
    <w:rsid w:val="00705B2D"/>
    <w:rsid w:val="00766E06"/>
    <w:rsid w:val="008404B9"/>
    <w:rsid w:val="00854F88"/>
    <w:rsid w:val="00863647"/>
    <w:rsid w:val="008637E6"/>
    <w:rsid w:val="00891C46"/>
    <w:rsid w:val="009A5829"/>
    <w:rsid w:val="00AB5A25"/>
    <w:rsid w:val="00AE5658"/>
    <w:rsid w:val="00B114A5"/>
    <w:rsid w:val="00B73A42"/>
    <w:rsid w:val="00B931FF"/>
    <w:rsid w:val="00BA6A36"/>
    <w:rsid w:val="00C2128F"/>
    <w:rsid w:val="00CA4D0B"/>
    <w:rsid w:val="00D011C1"/>
    <w:rsid w:val="00D6524D"/>
    <w:rsid w:val="00DF00C1"/>
    <w:rsid w:val="00E31567"/>
    <w:rsid w:val="00E34DC4"/>
    <w:rsid w:val="00E93450"/>
    <w:rsid w:val="00EA4109"/>
    <w:rsid w:val="00FA56D4"/>
    <w:rsid w:val="00FC45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64EF"/>
  <w15:chartTrackingRefBased/>
  <w15:docId w15:val="{D72F7081-5F78-443D-9297-6A51DE86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A25"/>
    <w:pPr>
      <w:keepNext/>
      <w:keepLines/>
      <w:spacing w:after="0"/>
      <w:outlineLvl w:val="0"/>
    </w:pPr>
    <w:rPr>
      <w:rFonts w:asciiTheme="majorHAnsi" w:eastAsiaTheme="majorEastAsia" w:hAnsiTheme="majorHAnsi" w:cstheme="majorBidi"/>
      <w:b/>
      <w:bCs/>
      <w:color w:val="65340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2">
    <w:name w:val="Heading 1.2"/>
    <w:basedOn w:val="Heading1"/>
    <w:link w:val="Heading12Char"/>
    <w:qFormat/>
    <w:rsid w:val="00AE5658"/>
    <w:pPr>
      <w:spacing w:after="200" w:line="276" w:lineRule="auto"/>
      <w:jc w:val="both"/>
    </w:pPr>
    <w:rPr>
      <w:rFonts w:ascii="Calibri" w:hAnsi="Calibri"/>
      <w:b w:val="0"/>
      <w:noProof/>
      <w:color w:val="2F5496"/>
      <w:szCs w:val="40"/>
      <w:lang w:eastAsia="en-AU"/>
    </w:rPr>
  </w:style>
  <w:style w:type="character" w:customStyle="1" w:styleId="Heading12Char">
    <w:name w:val="Heading 1.2 Char"/>
    <w:basedOn w:val="Heading1Char"/>
    <w:link w:val="Heading12"/>
    <w:rsid w:val="00AE5658"/>
    <w:rPr>
      <w:rFonts w:ascii="Calibri" w:eastAsiaTheme="majorEastAsia" w:hAnsi="Calibri" w:cstheme="majorBidi"/>
      <w:b w:val="0"/>
      <w:bCs/>
      <w:noProof/>
      <w:color w:val="2F5496"/>
      <w:sz w:val="28"/>
      <w:szCs w:val="40"/>
      <w:lang w:val="en-US" w:eastAsia="en-AU"/>
    </w:rPr>
  </w:style>
  <w:style w:type="table" w:customStyle="1" w:styleId="TableGrid1">
    <w:name w:val="Table Grid1"/>
    <w:basedOn w:val="TableNormal"/>
    <w:next w:val="TableGrid"/>
    <w:uiPriority w:val="39"/>
    <w:rsid w:val="00AE5658"/>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B5A25"/>
    <w:rPr>
      <w:rFonts w:asciiTheme="majorHAnsi" w:eastAsiaTheme="majorEastAsia" w:hAnsiTheme="majorHAnsi" w:cstheme="majorBidi"/>
      <w:b/>
      <w:bCs/>
      <w:color w:val="653405" w:themeColor="accent1" w:themeShade="BF"/>
      <w:sz w:val="28"/>
      <w:szCs w:val="28"/>
      <w:lang w:val="en-US"/>
    </w:rPr>
  </w:style>
  <w:style w:type="table" w:styleId="TableGrid">
    <w:name w:val="Table Grid"/>
    <w:basedOn w:val="TableNormal"/>
    <w:uiPriority w:val="39"/>
    <w:rsid w:val="00AE5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5658"/>
    <w:rPr>
      <w:color w:val="808080"/>
    </w:rPr>
  </w:style>
  <w:style w:type="paragraph" w:styleId="Header">
    <w:name w:val="header"/>
    <w:basedOn w:val="Normal"/>
    <w:link w:val="HeaderChar"/>
    <w:uiPriority w:val="99"/>
    <w:unhideWhenUsed/>
    <w:rsid w:val="00B11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4A5"/>
  </w:style>
  <w:style w:type="paragraph" w:styleId="Footer">
    <w:name w:val="footer"/>
    <w:basedOn w:val="Normal"/>
    <w:link w:val="FooterChar"/>
    <w:uiPriority w:val="99"/>
    <w:unhideWhenUsed/>
    <w:rsid w:val="00B11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64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36970A62C914C798EBF2E3DD7C964AC"/>
        <w:category>
          <w:name w:val="General"/>
          <w:gallery w:val="placeholder"/>
        </w:category>
        <w:types>
          <w:type w:val="bbPlcHdr"/>
        </w:types>
        <w:behaviors>
          <w:behavior w:val="content"/>
        </w:behaviors>
        <w:guid w:val="{A70DCDCE-7A05-4829-89C0-CC2B74ADC514}"/>
      </w:docPartPr>
      <w:docPartBody>
        <w:p w:rsidR="00493F0E" w:rsidRDefault="00E37053" w:rsidP="00E37053">
          <w:pPr>
            <w:pStyle w:val="B36970A62C914C798EBF2E3DD7C964AC"/>
          </w:pPr>
          <w:r w:rsidRPr="001E24E5">
            <w:rPr>
              <w:rStyle w:val="PlaceholderText"/>
            </w:rPr>
            <w:t>[Company]</w:t>
          </w:r>
        </w:p>
      </w:docPartBody>
    </w:docPart>
    <w:docPart>
      <w:docPartPr>
        <w:name w:val="F0EC44C1592741BEAD683E04C46B88DD"/>
        <w:category>
          <w:name w:val="General"/>
          <w:gallery w:val="placeholder"/>
        </w:category>
        <w:types>
          <w:type w:val="bbPlcHdr"/>
        </w:types>
        <w:behaviors>
          <w:behavior w:val="content"/>
        </w:behaviors>
        <w:guid w:val="{85866496-0416-4997-BAF6-FE45BD51D714}"/>
      </w:docPartPr>
      <w:docPartBody>
        <w:p w:rsidR="00493F0E" w:rsidRDefault="00E37053" w:rsidP="00E37053">
          <w:pPr>
            <w:pStyle w:val="F0EC44C1592741BEAD683E04C46B88DD"/>
          </w:pPr>
          <w:r w:rsidRPr="001E24E5">
            <w:rPr>
              <w:rStyle w:val="PlaceholderText"/>
            </w:rPr>
            <w:t>[Company]</w:t>
          </w:r>
        </w:p>
      </w:docPartBody>
    </w:docPart>
    <w:docPart>
      <w:docPartPr>
        <w:name w:val="7BDB4215492545D3B85B09450238632C"/>
        <w:category>
          <w:name w:val="General"/>
          <w:gallery w:val="placeholder"/>
        </w:category>
        <w:types>
          <w:type w:val="bbPlcHdr"/>
        </w:types>
        <w:behaviors>
          <w:behavior w:val="content"/>
        </w:behaviors>
        <w:guid w:val="{656A6B70-D83A-4750-A643-8992A2893A43}"/>
      </w:docPartPr>
      <w:docPartBody>
        <w:p w:rsidR="00493F0E" w:rsidRDefault="00E37053" w:rsidP="00E37053">
          <w:pPr>
            <w:pStyle w:val="7BDB4215492545D3B85B09450238632C"/>
          </w:pPr>
          <w:r w:rsidRPr="001E24E5">
            <w:rPr>
              <w:rStyle w:val="PlaceholderText"/>
            </w:rPr>
            <w:t>[Company]</w:t>
          </w:r>
        </w:p>
      </w:docPartBody>
    </w:docPart>
    <w:docPart>
      <w:docPartPr>
        <w:name w:val="D48BDCA4E32C4083B07B7659F7F34496"/>
        <w:category>
          <w:name w:val="General"/>
          <w:gallery w:val="placeholder"/>
        </w:category>
        <w:types>
          <w:type w:val="bbPlcHdr"/>
        </w:types>
        <w:behaviors>
          <w:behavior w:val="content"/>
        </w:behaviors>
        <w:guid w:val="{7EBB9516-C02F-4870-852A-821856715AD3}"/>
      </w:docPartPr>
      <w:docPartBody>
        <w:p w:rsidR="00493F0E" w:rsidRDefault="00E37053">
          <w:r w:rsidRPr="006F2CA6">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053"/>
    <w:rsid w:val="003F526D"/>
    <w:rsid w:val="00493F0E"/>
    <w:rsid w:val="00E370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7053"/>
    <w:rPr>
      <w:color w:val="808080"/>
    </w:rPr>
  </w:style>
  <w:style w:type="paragraph" w:customStyle="1" w:styleId="B36970A62C914C798EBF2E3DD7C964AC">
    <w:name w:val="B36970A62C914C798EBF2E3DD7C964AC"/>
    <w:rsid w:val="00E37053"/>
  </w:style>
  <w:style w:type="paragraph" w:customStyle="1" w:styleId="F0EC44C1592741BEAD683E04C46B88DD">
    <w:name w:val="F0EC44C1592741BEAD683E04C46B88DD"/>
    <w:rsid w:val="00E37053"/>
  </w:style>
  <w:style w:type="paragraph" w:customStyle="1" w:styleId="7BDB4215492545D3B85B09450238632C">
    <w:name w:val="7BDB4215492545D3B85B09450238632C"/>
    <w:rsid w:val="00E370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Shire of Leonora">
  <a:themeElements>
    <a:clrScheme name="Shire Colours">
      <a:dk1>
        <a:sysClr val="windowText" lastClr="000000"/>
      </a:dk1>
      <a:lt1>
        <a:sysClr val="window" lastClr="FFFFFF"/>
      </a:lt1>
      <a:dk2>
        <a:srgbClr val="3F3F3F"/>
      </a:dk2>
      <a:lt2>
        <a:srgbClr val="E7E6E6"/>
      </a:lt2>
      <a:accent1>
        <a:srgbClr val="874707"/>
      </a:accent1>
      <a:accent2>
        <a:srgbClr val="FFB10F"/>
      </a:accent2>
      <a:accent3>
        <a:srgbClr val="B0A19C"/>
      </a:accent3>
      <a:accent4>
        <a:srgbClr val="D09F76"/>
      </a:accent4>
      <a:accent5>
        <a:srgbClr val="BE640A"/>
      </a:accent5>
      <a:accent6>
        <a:srgbClr val="DFBDA1"/>
      </a:accent6>
      <a:hlink>
        <a:srgbClr val="966400"/>
      </a:hlink>
      <a:folHlink>
        <a:srgbClr val="8B766F"/>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D3AD8-055B-4650-936B-D44BF5780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3</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ACTION REPORT – 2017-18 Significant Adverse Trend – Operating Surplus Ratio</vt:lpstr>
    </vt:vector>
  </TitlesOfParts>
  <Company>Shire of Leonora</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REPORT – 2017-18 Significant Adverse Trend – Operating Surplus Ratio</dc:title>
  <dc:subject/>
  <dc:creator>Tanya Browning</dc:creator>
  <cp:keywords/>
  <dc:description/>
  <cp:lastModifiedBy>Linda Gray</cp:lastModifiedBy>
  <cp:revision>4</cp:revision>
  <cp:lastPrinted>2021-04-12T10:59:00Z</cp:lastPrinted>
  <dcterms:created xsi:type="dcterms:W3CDTF">2021-04-12T11:00:00Z</dcterms:created>
  <dcterms:modified xsi:type="dcterms:W3CDTF">2021-04-14T03:49:00Z</dcterms:modified>
</cp:coreProperties>
</file>